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1D77" w14:textId="77777777" w:rsidR="00BB2AC3" w:rsidRPr="00FE0FBD" w:rsidRDefault="00BB2AC3">
      <w:pPr>
        <w:tabs>
          <w:tab w:val="center" w:pos="4705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lang w:val="ro-RO"/>
        </w:rPr>
      </w:pPr>
    </w:p>
    <w:p w14:paraId="082D4962" w14:textId="791AA1D9" w:rsidR="00BB2AC3" w:rsidRPr="00FE0FBD" w:rsidRDefault="00342594" w:rsidP="002C2A8C">
      <w:pPr>
        <w:tabs>
          <w:tab w:val="center" w:pos="4705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lang w:val="ro-RO"/>
        </w:rPr>
      </w:pPr>
      <w:r w:rsidRPr="00FE0FBD">
        <w:rPr>
          <w:rFonts w:ascii="Arial" w:hAnsi="Arial" w:cs="Arial"/>
          <w:b/>
          <w:bCs/>
          <w:lang w:val="ro-RO"/>
        </w:rPr>
        <w:t>D E C I Z I E</w:t>
      </w:r>
    </w:p>
    <w:p w14:paraId="4C64DE56" w14:textId="30B76ECF" w:rsidR="00BB2AC3" w:rsidRPr="00891F83" w:rsidRDefault="00F13007" w:rsidP="00435448">
      <w:pPr>
        <w:tabs>
          <w:tab w:val="center" w:pos="4705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lang w:val="ro-RO"/>
        </w:rPr>
      </w:pPr>
      <w:r w:rsidRPr="00891F83">
        <w:rPr>
          <w:rFonts w:ascii="Arial" w:hAnsi="Arial" w:cs="Arial"/>
          <w:iCs/>
          <w:lang w:val="ro-RO"/>
        </w:rPr>
        <w:t xml:space="preserve">privind </w:t>
      </w:r>
      <w:bookmarkStart w:id="0" w:name="_Hlk179458191"/>
      <w:r w:rsidRPr="00891F83">
        <w:rPr>
          <w:rFonts w:ascii="Arial" w:hAnsi="Arial" w:cs="Arial"/>
          <w:iCs/>
          <w:lang w:val="ro-RO"/>
        </w:rPr>
        <w:t>verificarea îndeplinirii condiţiilor prevăzute de art. 17 alin. (9</w:t>
      </w:r>
      <w:r w:rsidRPr="00891F83">
        <w:rPr>
          <w:rFonts w:ascii="Arial" w:hAnsi="Arial" w:cs="Arial"/>
          <w:iCs/>
          <w:vertAlign w:val="superscript"/>
          <w:lang w:val="ro-RO"/>
        </w:rPr>
        <w:t>2</w:t>
      </w:r>
      <w:r w:rsidRPr="00891F83">
        <w:rPr>
          <w:rFonts w:ascii="Arial" w:hAnsi="Arial" w:cs="Arial"/>
          <w:iCs/>
          <w:lang w:val="ro-RO"/>
        </w:rPr>
        <w:t xml:space="preserve">) din </w:t>
      </w:r>
      <w:r w:rsidR="00F72FD1" w:rsidRPr="00891F83">
        <w:rPr>
          <w:rFonts w:ascii="Arial" w:hAnsi="Arial" w:cs="Arial"/>
          <w:lang w:val="ro-RO"/>
        </w:rPr>
        <w:t>Ordonanț</w:t>
      </w:r>
      <w:r w:rsidR="00891F83" w:rsidRPr="00891F83">
        <w:rPr>
          <w:rFonts w:ascii="Arial" w:hAnsi="Arial" w:cs="Arial"/>
          <w:lang w:val="ro-RO"/>
        </w:rPr>
        <w:t>a</w:t>
      </w:r>
      <w:r w:rsidR="00F72FD1" w:rsidRPr="00891F83">
        <w:rPr>
          <w:rFonts w:ascii="Arial" w:hAnsi="Arial" w:cs="Arial"/>
          <w:lang w:val="ro-RO"/>
        </w:rPr>
        <w:t xml:space="preserve"> de urgență a Guvernului</w:t>
      </w:r>
      <w:r w:rsidRPr="00891F83">
        <w:rPr>
          <w:rFonts w:ascii="Arial" w:hAnsi="Arial" w:cs="Arial"/>
          <w:iCs/>
          <w:lang w:val="ro-RO"/>
        </w:rPr>
        <w:t xml:space="preserve"> nr. 77/2009</w:t>
      </w:r>
      <w:r w:rsidR="002C2A8C" w:rsidRPr="00891F83">
        <w:rPr>
          <w:rFonts w:ascii="Arial" w:hAnsi="Arial" w:cs="Arial"/>
          <w:lang w:val="ro-RO"/>
        </w:rPr>
        <w:t xml:space="preserve"> </w:t>
      </w:r>
      <w:r w:rsidR="00D04351" w:rsidRPr="00891F83">
        <w:rPr>
          <w:rFonts w:ascii="Arial" w:hAnsi="Arial" w:cs="Arial"/>
          <w:lang w:val="ro-RO"/>
        </w:rPr>
        <w:t>privind organizarea și exploatarea jocurilor de noroc</w:t>
      </w:r>
      <w:r w:rsidR="00674685">
        <w:rPr>
          <w:rFonts w:ascii="Arial" w:hAnsi="Arial" w:cs="Arial"/>
          <w:lang w:val="ro-RO"/>
        </w:rPr>
        <w:t xml:space="preserve">, </w:t>
      </w:r>
      <w:r w:rsidR="00674685">
        <w:rPr>
          <w:rFonts w:ascii="Arial" w:hAnsi="Arial" w:cs="Arial"/>
          <w:color w:val="000000"/>
          <w:lang w:val="ro-RO"/>
        </w:rPr>
        <w:t>cu modific</w:t>
      </w:r>
      <w:r w:rsidR="00AF417C">
        <w:rPr>
          <w:rFonts w:ascii="Arial" w:hAnsi="Arial" w:cs="Arial"/>
          <w:color w:val="000000"/>
          <w:lang w:val="ro-RO"/>
        </w:rPr>
        <w:t>ările ș</w:t>
      </w:r>
      <w:r w:rsidR="00674685">
        <w:rPr>
          <w:rFonts w:ascii="Arial" w:hAnsi="Arial" w:cs="Arial"/>
          <w:color w:val="000000"/>
          <w:lang w:val="ro-RO"/>
        </w:rPr>
        <w:t>i complet</w:t>
      </w:r>
      <w:r w:rsidR="00AF417C">
        <w:rPr>
          <w:rFonts w:ascii="Arial" w:hAnsi="Arial" w:cs="Arial"/>
          <w:color w:val="000000"/>
          <w:lang w:val="ro-RO"/>
        </w:rPr>
        <w:t>ă</w:t>
      </w:r>
      <w:r w:rsidR="00674685">
        <w:rPr>
          <w:rFonts w:ascii="Arial" w:hAnsi="Arial" w:cs="Arial"/>
          <w:color w:val="000000"/>
          <w:lang w:val="ro-RO"/>
        </w:rPr>
        <w:t>rile ulterioare</w:t>
      </w:r>
      <w:r w:rsidRPr="00891F83">
        <w:rPr>
          <w:rFonts w:ascii="Arial" w:hAnsi="Arial" w:cs="Arial"/>
          <w:iCs/>
          <w:lang w:val="ro-RO"/>
        </w:rPr>
        <w:t xml:space="preserve"> şi de constatare a diferenţei de taxă pe care organizatorul nu o mai datorează din taxa de autorizare achitată anticipat cu bonificaţie </w:t>
      </w:r>
      <w:r w:rsidR="00814812">
        <w:rPr>
          <w:rFonts w:ascii="Arial" w:hAnsi="Arial" w:cs="Arial"/>
          <w:iCs/>
          <w:lang w:val="ro-RO"/>
        </w:rPr>
        <w:t xml:space="preserve">de </w:t>
      </w:r>
      <w:r w:rsidRPr="00891F83">
        <w:rPr>
          <w:rFonts w:ascii="Arial" w:hAnsi="Arial" w:cs="Arial"/>
          <w:iCs/>
          <w:lang w:val="ro-RO"/>
        </w:rPr>
        <w:t>10%</w:t>
      </w:r>
      <w:bookmarkEnd w:id="0"/>
    </w:p>
    <w:p w14:paraId="54B269C0" w14:textId="77777777" w:rsidR="00BB2AC3" w:rsidRPr="00FE0FBD" w:rsidRDefault="00342594">
      <w:pPr>
        <w:tabs>
          <w:tab w:val="center" w:pos="4705"/>
        </w:tabs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lang w:val="ro-RO"/>
        </w:rPr>
      </w:pPr>
      <w:r w:rsidRPr="00FE0FBD">
        <w:rPr>
          <w:rFonts w:ascii="Arial" w:hAnsi="Arial" w:cs="Arial"/>
          <w:b/>
          <w:bCs/>
          <w:lang w:val="ro-RO"/>
        </w:rPr>
        <w:t xml:space="preserve"> nr. ...... din data de .............</w:t>
      </w:r>
    </w:p>
    <w:p w14:paraId="5B8FC2CA" w14:textId="77777777" w:rsidR="00BB2AC3" w:rsidRPr="00FE0FBD" w:rsidRDefault="00BB2AC3">
      <w:pPr>
        <w:widowControl w:val="0"/>
        <w:tabs>
          <w:tab w:val="center" w:pos="4705"/>
        </w:tabs>
        <w:autoSpaceDE w:val="0"/>
        <w:autoSpaceDN w:val="0"/>
        <w:adjustRightInd w:val="0"/>
        <w:rPr>
          <w:rFonts w:ascii="Arial" w:hAnsi="Arial" w:cs="Arial"/>
          <w:b/>
          <w:bCs/>
          <w:lang w:val="ro-RO"/>
        </w:rPr>
      </w:pPr>
    </w:p>
    <w:p w14:paraId="3530A9A2" w14:textId="77777777" w:rsidR="00BB2AC3" w:rsidRPr="00FE0FBD" w:rsidRDefault="00342594">
      <w:pPr>
        <w:pStyle w:val="ListParagraph"/>
        <w:widowControl w:val="0"/>
        <w:numPr>
          <w:ilvl w:val="0"/>
          <w:numId w:val="1"/>
        </w:numPr>
        <w:tabs>
          <w:tab w:val="center" w:pos="4705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o-RO"/>
        </w:rPr>
      </w:pPr>
      <w:r w:rsidRPr="00FE0FBD">
        <w:rPr>
          <w:rFonts w:ascii="Arial" w:hAnsi="Arial" w:cs="Arial"/>
          <w:b/>
          <w:bCs/>
          <w:sz w:val="24"/>
          <w:szCs w:val="24"/>
          <w:lang w:val="ro-RO"/>
        </w:rPr>
        <w:t>Datele de identificare a persoanei juridice:</w:t>
      </w:r>
    </w:p>
    <w:p w14:paraId="26E8750F" w14:textId="77777777" w:rsidR="00BB2AC3" w:rsidRPr="00FE0FBD" w:rsidRDefault="00342594">
      <w:pPr>
        <w:pStyle w:val="ListParagraph"/>
        <w:widowControl w:val="0"/>
        <w:tabs>
          <w:tab w:val="center" w:pos="4705"/>
        </w:tabs>
        <w:autoSpaceDE w:val="0"/>
        <w:autoSpaceDN w:val="0"/>
        <w:adjustRightInd w:val="0"/>
        <w:ind w:left="786"/>
        <w:rPr>
          <w:rFonts w:ascii="Arial" w:hAnsi="Arial" w:cs="Arial"/>
          <w:sz w:val="24"/>
          <w:szCs w:val="24"/>
          <w:lang w:val="ro-RO"/>
        </w:rPr>
      </w:pPr>
      <w:r w:rsidRPr="00FE0FBD">
        <w:rPr>
          <w:rFonts w:ascii="Arial" w:hAnsi="Arial" w:cs="Arial"/>
          <w:sz w:val="24"/>
          <w:szCs w:val="24"/>
          <w:lang w:val="ro-RO"/>
        </w:rPr>
        <w:t>Denumire................................</w:t>
      </w:r>
    </w:p>
    <w:p w14:paraId="3EDF85AF" w14:textId="53CDC2FC" w:rsidR="00BB2AC3" w:rsidRPr="00FE0FBD" w:rsidRDefault="00342594">
      <w:pPr>
        <w:pStyle w:val="ListParagraph"/>
        <w:widowControl w:val="0"/>
        <w:tabs>
          <w:tab w:val="center" w:pos="4705"/>
        </w:tabs>
        <w:autoSpaceDE w:val="0"/>
        <w:autoSpaceDN w:val="0"/>
        <w:adjustRightInd w:val="0"/>
        <w:ind w:left="786"/>
        <w:rPr>
          <w:rFonts w:ascii="Arial" w:hAnsi="Arial" w:cs="Arial"/>
          <w:sz w:val="24"/>
          <w:szCs w:val="24"/>
          <w:lang w:val="ro-RO"/>
        </w:rPr>
      </w:pPr>
      <w:r w:rsidRPr="00FE0FBD">
        <w:rPr>
          <w:rFonts w:ascii="Arial" w:hAnsi="Arial" w:cs="Arial"/>
          <w:sz w:val="24"/>
          <w:szCs w:val="24"/>
          <w:lang w:val="ro-RO"/>
        </w:rPr>
        <w:t>Cod</w:t>
      </w:r>
      <w:r w:rsidR="00F13007">
        <w:rPr>
          <w:rFonts w:ascii="Arial" w:hAnsi="Arial" w:cs="Arial"/>
          <w:sz w:val="24"/>
          <w:szCs w:val="24"/>
          <w:lang w:val="ro-RO"/>
        </w:rPr>
        <w:t xml:space="preserve"> </w:t>
      </w:r>
      <w:r w:rsidRPr="00FE0FBD">
        <w:rPr>
          <w:rFonts w:ascii="Arial" w:hAnsi="Arial" w:cs="Arial"/>
          <w:sz w:val="24"/>
          <w:szCs w:val="24"/>
          <w:lang w:val="ro-RO"/>
        </w:rPr>
        <w:t>de identificare</w:t>
      </w:r>
      <w:r w:rsidR="002C2A8C">
        <w:rPr>
          <w:rFonts w:ascii="Arial" w:hAnsi="Arial" w:cs="Arial"/>
          <w:sz w:val="24"/>
          <w:szCs w:val="24"/>
          <w:lang w:val="ro-RO"/>
        </w:rPr>
        <w:t xml:space="preserve"> fiscală</w:t>
      </w:r>
      <w:r w:rsidR="005E203B">
        <w:rPr>
          <w:rFonts w:ascii="Arial" w:hAnsi="Arial" w:cs="Arial"/>
          <w:sz w:val="24"/>
          <w:szCs w:val="24"/>
          <w:lang w:val="ro-RO"/>
        </w:rPr>
        <w:t xml:space="preserve"> </w:t>
      </w:r>
      <w:r w:rsidRPr="00FE0FBD">
        <w:rPr>
          <w:rFonts w:ascii="Arial" w:hAnsi="Arial" w:cs="Arial"/>
          <w:sz w:val="24"/>
          <w:szCs w:val="24"/>
          <w:lang w:val="ro-RO"/>
        </w:rPr>
        <w:t>.........</w:t>
      </w:r>
    </w:p>
    <w:p w14:paraId="20185E1F" w14:textId="77777777" w:rsidR="00BB2AC3" w:rsidRPr="00FE0FBD" w:rsidRDefault="00342594">
      <w:pPr>
        <w:pStyle w:val="ListParagraph"/>
        <w:widowControl w:val="0"/>
        <w:tabs>
          <w:tab w:val="center" w:pos="4705"/>
        </w:tabs>
        <w:autoSpaceDE w:val="0"/>
        <w:autoSpaceDN w:val="0"/>
        <w:adjustRightInd w:val="0"/>
        <w:ind w:left="786"/>
        <w:rPr>
          <w:rFonts w:ascii="Arial" w:hAnsi="Arial" w:cs="Arial"/>
          <w:sz w:val="24"/>
          <w:szCs w:val="24"/>
          <w:lang w:val="ro-RO"/>
        </w:rPr>
      </w:pPr>
      <w:r w:rsidRPr="00FE0FBD">
        <w:rPr>
          <w:rFonts w:ascii="Arial" w:hAnsi="Arial" w:cs="Arial"/>
          <w:sz w:val="24"/>
          <w:szCs w:val="24"/>
          <w:lang w:val="ro-RO"/>
        </w:rPr>
        <w:t>Sediul.....................................</w:t>
      </w:r>
    </w:p>
    <w:p w14:paraId="5918E749" w14:textId="1A28AEE2" w:rsidR="00BB2AC3" w:rsidRDefault="00342594" w:rsidP="001A5419">
      <w:pPr>
        <w:pStyle w:val="ListParagraph"/>
        <w:widowControl w:val="0"/>
        <w:tabs>
          <w:tab w:val="center" w:pos="4705"/>
        </w:tabs>
        <w:autoSpaceDE w:val="0"/>
        <w:autoSpaceDN w:val="0"/>
        <w:adjustRightInd w:val="0"/>
        <w:ind w:left="786"/>
        <w:rPr>
          <w:rFonts w:ascii="Arial" w:hAnsi="Arial" w:cs="Arial"/>
          <w:sz w:val="24"/>
          <w:szCs w:val="24"/>
          <w:lang w:val="ro-RO"/>
        </w:rPr>
      </w:pPr>
      <w:r w:rsidRPr="00FE0FBD">
        <w:rPr>
          <w:rFonts w:ascii="Arial" w:hAnsi="Arial" w:cs="Arial"/>
          <w:sz w:val="24"/>
          <w:szCs w:val="24"/>
          <w:lang w:val="ro-RO"/>
        </w:rPr>
        <w:t>Licenţa de organizare a jocurilor de noroc .......... seria ............... valabilă de la data de ..........</w:t>
      </w:r>
    </w:p>
    <w:p w14:paraId="25C9C4CF" w14:textId="77777777" w:rsidR="001A5419" w:rsidRPr="00FE0FBD" w:rsidRDefault="001A5419" w:rsidP="001A5419">
      <w:pPr>
        <w:pStyle w:val="ListParagraph"/>
        <w:widowControl w:val="0"/>
        <w:tabs>
          <w:tab w:val="center" w:pos="4705"/>
        </w:tabs>
        <w:autoSpaceDE w:val="0"/>
        <w:autoSpaceDN w:val="0"/>
        <w:adjustRightInd w:val="0"/>
        <w:ind w:left="786"/>
        <w:rPr>
          <w:rFonts w:ascii="Arial" w:hAnsi="Arial" w:cs="Arial"/>
          <w:b/>
          <w:bCs/>
          <w:lang w:val="ro-RO"/>
        </w:rPr>
      </w:pPr>
    </w:p>
    <w:p w14:paraId="2B6DB0A4" w14:textId="26D1B897" w:rsidR="00BB2AC3" w:rsidRPr="00891F83" w:rsidRDefault="00342594" w:rsidP="002C2A8C">
      <w:pPr>
        <w:pStyle w:val="ListParagraph"/>
        <w:widowControl w:val="0"/>
        <w:numPr>
          <w:ilvl w:val="0"/>
          <w:numId w:val="1"/>
        </w:numPr>
        <w:tabs>
          <w:tab w:val="center" w:pos="4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891F83">
        <w:rPr>
          <w:rFonts w:ascii="Arial" w:hAnsi="Arial" w:cs="Arial"/>
          <w:b/>
          <w:sz w:val="24"/>
          <w:szCs w:val="24"/>
          <w:lang w:val="ro-RO" w:eastAsia="pl-PL"/>
        </w:rPr>
        <w:t>Obiectul deciziei:</w:t>
      </w:r>
      <w:r w:rsidRPr="00891F83">
        <w:rPr>
          <w:rFonts w:ascii="Arial" w:hAnsi="Arial" w:cs="Arial"/>
          <w:sz w:val="24"/>
          <w:szCs w:val="24"/>
          <w:lang w:val="ro-RO"/>
        </w:rPr>
        <w:t xml:space="preserve"> </w:t>
      </w:r>
      <w:r w:rsidR="00F13007" w:rsidRPr="00891F83">
        <w:rPr>
          <w:rFonts w:ascii="Arial" w:hAnsi="Arial" w:cs="Arial"/>
          <w:sz w:val="24"/>
          <w:szCs w:val="24"/>
          <w:lang w:val="ro-RO"/>
        </w:rPr>
        <w:t xml:space="preserve">verificarea îndeplinirii condiţiilor prevăzute de art. 17 alin. </w:t>
      </w:r>
      <w:r w:rsidR="002C2A8C" w:rsidRPr="00891F83">
        <w:rPr>
          <w:rFonts w:ascii="Arial" w:hAnsi="Arial" w:cs="Arial"/>
          <w:iCs/>
          <w:sz w:val="24"/>
          <w:szCs w:val="24"/>
          <w:lang w:val="ro-RO"/>
        </w:rPr>
        <w:t>(9</w:t>
      </w:r>
      <w:r w:rsidR="002C2A8C" w:rsidRPr="00891F83">
        <w:rPr>
          <w:rFonts w:ascii="Arial" w:hAnsi="Arial" w:cs="Arial"/>
          <w:iCs/>
          <w:sz w:val="24"/>
          <w:szCs w:val="24"/>
          <w:vertAlign w:val="superscript"/>
          <w:lang w:val="ro-RO"/>
        </w:rPr>
        <w:t>2</w:t>
      </w:r>
      <w:r w:rsidR="002C2A8C" w:rsidRPr="00891F83">
        <w:rPr>
          <w:rFonts w:ascii="Arial" w:hAnsi="Arial" w:cs="Arial"/>
          <w:iCs/>
          <w:sz w:val="24"/>
          <w:szCs w:val="24"/>
          <w:lang w:val="ro-RO"/>
        </w:rPr>
        <w:t xml:space="preserve">) din </w:t>
      </w:r>
      <w:r w:rsidR="00F72FD1" w:rsidRPr="00891F83">
        <w:rPr>
          <w:rFonts w:ascii="Arial" w:hAnsi="Arial" w:cs="Arial"/>
          <w:sz w:val="24"/>
          <w:szCs w:val="24"/>
          <w:lang w:val="ro-RO"/>
        </w:rPr>
        <w:t>Ordonanț</w:t>
      </w:r>
      <w:r w:rsidR="00891F83" w:rsidRPr="00891F83">
        <w:rPr>
          <w:rFonts w:ascii="Arial" w:hAnsi="Arial" w:cs="Arial"/>
          <w:sz w:val="24"/>
          <w:szCs w:val="24"/>
          <w:lang w:val="ro-RO"/>
        </w:rPr>
        <w:t>a</w:t>
      </w:r>
      <w:r w:rsidR="00F72FD1" w:rsidRPr="00891F83">
        <w:rPr>
          <w:rFonts w:ascii="Arial" w:hAnsi="Arial" w:cs="Arial"/>
          <w:sz w:val="24"/>
          <w:szCs w:val="24"/>
          <w:lang w:val="ro-RO"/>
        </w:rPr>
        <w:t xml:space="preserve"> de urgență a Guvernului</w:t>
      </w:r>
      <w:r w:rsidR="002C2A8C" w:rsidRPr="00891F83">
        <w:rPr>
          <w:rFonts w:ascii="Arial" w:hAnsi="Arial" w:cs="Arial"/>
          <w:iCs/>
          <w:sz w:val="24"/>
          <w:szCs w:val="24"/>
          <w:lang w:val="ro-RO"/>
        </w:rPr>
        <w:t xml:space="preserve"> nr. 77/2009</w:t>
      </w:r>
      <w:r w:rsidR="002C2A8C" w:rsidRPr="00891F83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="00674685">
        <w:rPr>
          <w:rFonts w:ascii="Arial" w:hAnsi="Arial" w:cs="Arial"/>
          <w:color w:val="000000"/>
          <w:sz w:val="24"/>
          <w:szCs w:val="24"/>
          <w:lang w:val="ro-RO"/>
        </w:rPr>
        <w:t>cu modific</w:t>
      </w:r>
      <w:r w:rsidR="00D62B1A">
        <w:rPr>
          <w:rFonts w:ascii="Arial" w:hAnsi="Arial" w:cs="Arial"/>
          <w:color w:val="000000"/>
          <w:sz w:val="24"/>
          <w:szCs w:val="24"/>
          <w:lang w:val="ro-RO"/>
        </w:rPr>
        <w:t>ă</w:t>
      </w:r>
      <w:r w:rsidR="00674685">
        <w:rPr>
          <w:rFonts w:ascii="Arial" w:hAnsi="Arial" w:cs="Arial"/>
          <w:color w:val="000000"/>
          <w:sz w:val="24"/>
          <w:szCs w:val="24"/>
          <w:lang w:val="ro-RO"/>
        </w:rPr>
        <w:t xml:space="preserve">rile </w:t>
      </w:r>
      <w:r w:rsidR="00D62B1A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="00674685">
        <w:rPr>
          <w:rFonts w:ascii="Arial" w:hAnsi="Arial" w:cs="Arial"/>
          <w:color w:val="000000"/>
          <w:sz w:val="24"/>
          <w:szCs w:val="24"/>
          <w:lang w:val="ro-RO"/>
        </w:rPr>
        <w:t>i complet</w:t>
      </w:r>
      <w:r w:rsidR="00D62B1A">
        <w:rPr>
          <w:rFonts w:ascii="Arial" w:hAnsi="Arial" w:cs="Arial"/>
          <w:color w:val="000000"/>
          <w:sz w:val="24"/>
          <w:szCs w:val="24"/>
          <w:lang w:val="ro-RO"/>
        </w:rPr>
        <w:t>ă</w:t>
      </w:r>
      <w:r w:rsidR="00674685">
        <w:rPr>
          <w:rFonts w:ascii="Arial" w:hAnsi="Arial" w:cs="Arial"/>
          <w:color w:val="000000"/>
          <w:sz w:val="24"/>
          <w:szCs w:val="24"/>
          <w:lang w:val="ro-RO"/>
        </w:rPr>
        <w:t xml:space="preserve">rile ulterioare </w:t>
      </w:r>
      <w:r w:rsidR="00F13007" w:rsidRPr="00891F83">
        <w:rPr>
          <w:rFonts w:ascii="Arial" w:hAnsi="Arial" w:cs="Arial"/>
          <w:sz w:val="24"/>
          <w:szCs w:val="24"/>
          <w:lang w:val="ro-RO"/>
        </w:rPr>
        <w:t xml:space="preserve">şi de </w:t>
      </w:r>
      <w:bookmarkStart w:id="1" w:name="_Hlk179459252"/>
      <w:r w:rsidR="00F13007" w:rsidRPr="00891F83">
        <w:rPr>
          <w:rFonts w:ascii="Arial" w:hAnsi="Arial" w:cs="Arial"/>
          <w:sz w:val="24"/>
          <w:szCs w:val="24"/>
          <w:lang w:val="ro-RO"/>
        </w:rPr>
        <w:t>constatare a diferenţei de taxă pe care organizatorul nu o mai datorează din taxa de autorizare</w:t>
      </w:r>
      <w:r w:rsidR="002C2A8C" w:rsidRPr="00891F83">
        <w:rPr>
          <w:rFonts w:ascii="Arial" w:hAnsi="Arial" w:cs="Arial"/>
          <w:sz w:val="24"/>
          <w:szCs w:val="24"/>
          <w:lang w:val="ro-RO"/>
        </w:rPr>
        <w:t xml:space="preserve"> </w:t>
      </w:r>
      <w:r w:rsidR="00F13007" w:rsidRPr="00891F83">
        <w:rPr>
          <w:rFonts w:ascii="Arial" w:hAnsi="Arial" w:cs="Arial"/>
          <w:sz w:val="24"/>
          <w:szCs w:val="24"/>
          <w:lang w:val="ro-RO"/>
        </w:rPr>
        <w:t xml:space="preserve">achitată anticipat cu bonificaţie </w:t>
      </w:r>
      <w:r w:rsidR="008C4F35">
        <w:rPr>
          <w:rFonts w:ascii="Arial" w:hAnsi="Arial" w:cs="Arial"/>
          <w:sz w:val="24"/>
          <w:szCs w:val="24"/>
          <w:lang w:val="ro-RO"/>
        </w:rPr>
        <w:t xml:space="preserve">de </w:t>
      </w:r>
      <w:r w:rsidR="00F13007" w:rsidRPr="00891F83">
        <w:rPr>
          <w:rFonts w:ascii="Arial" w:hAnsi="Arial" w:cs="Arial"/>
          <w:sz w:val="24"/>
          <w:szCs w:val="24"/>
          <w:lang w:val="ro-RO"/>
        </w:rPr>
        <w:t>10%</w:t>
      </w:r>
      <w:bookmarkEnd w:id="1"/>
      <w:r w:rsidR="002C2A8C" w:rsidRPr="00891F83">
        <w:rPr>
          <w:rFonts w:ascii="Arial" w:hAnsi="Arial" w:cs="Arial"/>
          <w:sz w:val="24"/>
          <w:szCs w:val="24"/>
          <w:lang w:val="ro-RO"/>
        </w:rPr>
        <w:t>.</w:t>
      </w:r>
    </w:p>
    <w:p w14:paraId="2A1E443E" w14:textId="77777777" w:rsidR="00BB2AC3" w:rsidRPr="00FE0FBD" w:rsidRDefault="00BB2AC3">
      <w:pPr>
        <w:pStyle w:val="ListParagraph"/>
        <w:rPr>
          <w:rFonts w:ascii="Arial" w:hAnsi="Arial" w:cs="Arial"/>
          <w:b/>
          <w:sz w:val="24"/>
          <w:szCs w:val="24"/>
          <w:lang w:val="ro-RO" w:eastAsia="pl-PL"/>
        </w:rPr>
      </w:pPr>
    </w:p>
    <w:p w14:paraId="662CCEFF" w14:textId="77777777" w:rsidR="00BB2AC3" w:rsidRPr="00FE0FBD" w:rsidRDefault="00342594">
      <w:pPr>
        <w:pStyle w:val="ListParagraph"/>
        <w:widowControl w:val="0"/>
        <w:numPr>
          <w:ilvl w:val="0"/>
          <w:numId w:val="1"/>
        </w:numPr>
        <w:tabs>
          <w:tab w:val="center" w:pos="4705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o-RO"/>
        </w:rPr>
      </w:pPr>
      <w:r w:rsidRPr="00FE0FBD">
        <w:rPr>
          <w:rFonts w:ascii="Arial" w:hAnsi="Arial" w:cs="Arial"/>
          <w:b/>
          <w:sz w:val="24"/>
          <w:szCs w:val="24"/>
          <w:lang w:val="ro-RO" w:eastAsia="pl-PL"/>
        </w:rPr>
        <w:t xml:space="preserve">Motivul de fapt: </w:t>
      </w:r>
    </w:p>
    <w:p w14:paraId="600DE99F" w14:textId="77777777" w:rsidR="00BB2AC3" w:rsidRPr="00FE0FBD" w:rsidRDefault="00342594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  <w:lang w:val="ro-RO" w:eastAsia="pl-PL"/>
        </w:rPr>
      </w:pPr>
      <w:r w:rsidRPr="00FE0FBD">
        <w:rPr>
          <w:rFonts w:ascii="Arial" w:hAnsi="Arial" w:cs="Arial"/>
          <w:bCs/>
          <w:sz w:val="24"/>
          <w:szCs w:val="24"/>
          <w:lang w:val="ro-RO" w:eastAsia="pl-PL"/>
        </w:rPr>
        <w:t>Notificarea înregistrată la Oficiul Naţional pentru Jocuri de Noroc sub nr......</w:t>
      </w:r>
    </w:p>
    <w:p w14:paraId="10C86290" w14:textId="280BDC0A" w:rsidR="00BB2AC3" w:rsidRPr="00FE0FBD" w:rsidRDefault="00342594" w:rsidP="00411E0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  <w:lang w:val="ro-RO" w:eastAsia="pl-PL"/>
        </w:rPr>
      </w:pPr>
      <w:r w:rsidRPr="00FE0FBD">
        <w:rPr>
          <w:rFonts w:ascii="Arial" w:hAnsi="Arial" w:cs="Arial"/>
          <w:bCs/>
          <w:sz w:val="24"/>
          <w:szCs w:val="24"/>
          <w:lang w:val="ro-RO" w:eastAsia="pl-PL"/>
        </w:rPr>
        <w:t>Modificarea legislativă aplicabilă:</w:t>
      </w:r>
      <w:r w:rsidR="00F13007" w:rsidRPr="00F13007">
        <w:rPr>
          <w:rFonts w:ascii="Arial" w:hAnsi="Arial" w:cs="Arial"/>
          <w:sz w:val="24"/>
          <w:szCs w:val="24"/>
        </w:rPr>
        <w:t xml:space="preserve"> </w:t>
      </w:r>
      <w:r w:rsidR="00F13007">
        <w:rPr>
          <w:rFonts w:ascii="Arial" w:hAnsi="Arial" w:cs="Arial"/>
          <w:sz w:val="24"/>
          <w:szCs w:val="24"/>
        </w:rPr>
        <w:t xml:space="preserve">[se </w:t>
      </w:r>
      <w:proofErr w:type="spellStart"/>
      <w:r w:rsidR="00F13007">
        <w:rPr>
          <w:rFonts w:ascii="Arial" w:hAnsi="Arial" w:cs="Arial"/>
          <w:sz w:val="24"/>
          <w:szCs w:val="24"/>
        </w:rPr>
        <w:t>vor</w:t>
      </w:r>
      <w:proofErr w:type="spellEnd"/>
      <w:r w:rsid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>
        <w:rPr>
          <w:rFonts w:ascii="Arial" w:hAnsi="Arial" w:cs="Arial"/>
          <w:sz w:val="24"/>
          <w:szCs w:val="24"/>
        </w:rPr>
        <w:t>indica</w:t>
      </w:r>
      <w:proofErr w:type="spellEnd"/>
      <w:r w:rsid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>
        <w:rPr>
          <w:rFonts w:ascii="Arial" w:hAnsi="Arial" w:cs="Arial"/>
          <w:sz w:val="24"/>
          <w:szCs w:val="24"/>
        </w:rPr>
        <w:t>prevederile</w:t>
      </w:r>
      <w:proofErr w:type="spellEnd"/>
      <w:r w:rsid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>
        <w:rPr>
          <w:rFonts w:ascii="Arial" w:hAnsi="Arial" w:cs="Arial"/>
          <w:sz w:val="24"/>
          <w:szCs w:val="24"/>
        </w:rPr>
        <w:t>legale</w:t>
      </w:r>
      <w:proofErr w:type="spellEnd"/>
      <w:r w:rsid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>
        <w:rPr>
          <w:rFonts w:ascii="Arial" w:hAnsi="Arial" w:cs="Arial"/>
          <w:sz w:val="24"/>
          <w:szCs w:val="24"/>
        </w:rPr>
        <w:t>ce</w:t>
      </w:r>
      <w:proofErr w:type="spellEnd"/>
      <w:r w:rsidR="00F1300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F13007">
        <w:rPr>
          <w:rFonts w:ascii="Arial" w:hAnsi="Arial" w:cs="Arial"/>
          <w:sz w:val="24"/>
          <w:szCs w:val="24"/>
        </w:rPr>
        <w:t>suferit</w:t>
      </w:r>
      <w:proofErr w:type="spellEnd"/>
      <w:r w:rsid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>
        <w:rPr>
          <w:rFonts w:ascii="Arial" w:hAnsi="Arial" w:cs="Arial"/>
          <w:sz w:val="24"/>
          <w:szCs w:val="24"/>
        </w:rPr>
        <w:t>modificări</w:t>
      </w:r>
      <w:proofErr w:type="spellEnd"/>
      <w:r w:rsid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>
        <w:rPr>
          <w:rFonts w:ascii="Arial" w:hAnsi="Arial" w:cs="Arial"/>
          <w:sz w:val="24"/>
          <w:szCs w:val="24"/>
        </w:rPr>
        <w:t>ce</w:t>
      </w:r>
      <w:proofErr w:type="spellEnd"/>
      <w:r w:rsidR="00F13007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F13007">
        <w:rPr>
          <w:rFonts w:ascii="Arial" w:hAnsi="Arial" w:cs="Arial"/>
          <w:sz w:val="24"/>
          <w:szCs w:val="24"/>
        </w:rPr>
        <w:t>determinat</w:t>
      </w:r>
      <w:proofErr w:type="spellEnd"/>
      <w:r w:rsid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renunţ</w:t>
      </w:r>
      <w:r w:rsidR="00F13007">
        <w:rPr>
          <w:rFonts w:ascii="Arial" w:hAnsi="Arial" w:cs="Arial"/>
          <w:sz w:val="24"/>
          <w:szCs w:val="24"/>
        </w:rPr>
        <w:t>area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licenţa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organizator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sau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încet</w:t>
      </w:r>
      <w:r w:rsidR="00F13007">
        <w:rPr>
          <w:rFonts w:ascii="Arial" w:hAnsi="Arial" w:cs="Arial"/>
          <w:sz w:val="24"/>
          <w:szCs w:val="24"/>
        </w:rPr>
        <w:t>area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exploat</w:t>
      </w:r>
      <w:r w:rsidR="00F13007">
        <w:rPr>
          <w:rFonts w:ascii="Arial" w:hAnsi="Arial" w:cs="Arial"/>
          <w:sz w:val="24"/>
          <w:szCs w:val="24"/>
        </w:rPr>
        <w:t>ării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anumit</w:t>
      </w:r>
      <w:r w:rsidR="00F13007">
        <w:rPr>
          <w:rFonts w:ascii="Arial" w:hAnsi="Arial" w:cs="Arial"/>
          <w:sz w:val="24"/>
          <w:szCs w:val="24"/>
        </w:rPr>
        <w:t>or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activităţi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jocuri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noroc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sau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mijloace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joc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, ca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urmare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faptului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că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mai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îndeplinesc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condiţiile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legale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organizare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sau</w:t>
      </w:r>
      <w:proofErr w:type="spellEnd"/>
      <w:r w:rsidR="00F13007"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007" w:rsidRPr="00F13007">
        <w:rPr>
          <w:rFonts w:ascii="Arial" w:hAnsi="Arial" w:cs="Arial"/>
          <w:sz w:val="24"/>
          <w:szCs w:val="24"/>
        </w:rPr>
        <w:t>exploatare</w:t>
      </w:r>
      <w:proofErr w:type="spellEnd"/>
      <w:r w:rsidR="00F13007">
        <w:rPr>
          <w:rFonts w:ascii="Arial" w:hAnsi="Arial" w:cs="Arial"/>
          <w:sz w:val="24"/>
          <w:szCs w:val="24"/>
        </w:rPr>
        <w:t>]</w:t>
      </w:r>
      <w:r w:rsidR="0054721A">
        <w:rPr>
          <w:rFonts w:ascii="Arial" w:hAnsi="Arial" w:cs="Arial"/>
          <w:sz w:val="24"/>
          <w:szCs w:val="24"/>
        </w:rPr>
        <w:t>.</w:t>
      </w:r>
    </w:p>
    <w:p w14:paraId="7279F411" w14:textId="75E821B2" w:rsidR="00BB2AC3" w:rsidRPr="00FE0FBD" w:rsidRDefault="0034259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  <w:lang w:val="ro-RO" w:eastAsia="pl-PL"/>
        </w:rPr>
      </w:pPr>
      <w:r w:rsidRPr="00FE0FBD">
        <w:rPr>
          <w:rFonts w:ascii="Arial" w:hAnsi="Arial" w:cs="Arial"/>
          <w:bCs/>
          <w:sz w:val="24"/>
          <w:szCs w:val="24"/>
          <w:lang w:val="ro-RO" w:eastAsia="pl-PL"/>
        </w:rPr>
        <w:t>Date privind autorizaţiile de exploatare a jocurilor de noroc (ex: seriile autorizaţiilor/mijloacelor de joc, Deciziile Comitetului de Supraveghere prin intermediul cărora au fost acordate şi orice alte informaţii necesare, după caz)</w:t>
      </w:r>
      <w:r w:rsidR="00F048A4">
        <w:rPr>
          <w:rFonts w:ascii="Arial" w:hAnsi="Arial" w:cs="Arial"/>
          <w:bCs/>
          <w:sz w:val="24"/>
          <w:szCs w:val="24"/>
          <w:lang w:val="ro-RO" w:eastAsia="pl-PL"/>
        </w:rPr>
        <w:t>.</w:t>
      </w:r>
    </w:p>
    <w:p w14:paraId="4B953480" w14:textId="488E463E" w:rsidR="00BB2AC3" w:rsidRPr="00FE0FBD" w:rsidRDefault="00F048A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  <w:lang w:val="ro-RO" w:eastAsia="pl-PL"/>
        </w:rPr>
      </w:pPr>
      <w:r>
        <w:rPr>
          <w:rFonts w:ascii="Arial" w:hAnsi="Arial" w:cs="Arial"/>
          <w:bCs/>
          <w:sz w:val="24"/>
          <w:szCs w:val="24"/>
          <w:lang w:val="ro-RO" w:eastAsia="pl-PL"/>
        </w:rPr>
        <w:t xml:space="preserve">Prezentarea documentelor (ex: </w:t>
      </w:r>
      <w:r w:rsidR="00342594" w:rsidRPr="00FE0FBD">
        <w:rPr>
          <w:rFonts w:ascii="Arial" w:hAnsi="Arial" w:cs="Arial"/>
          <w:bCs/>
          <w:sz w:val="24"/>
          <w:szCs w:val="24"/>
          <w:lang w:val="ro-RO" w:eastAsia="pl-PL"/>
        </w:rPr>
        <w:t>notificarea privind scoaterea din funcţiune a mijloacelor de joc, documente privind vânzarea/restitu</w:t>
      </w:r>
      <w:r w:rsidR="000C5425">
        <w:rPr>
          <w:rFonts w:ascii="Arial" w:hAnsi="Arial" w:cs="Arial"/>
          <w:bCs/>
          <w:sz w:val="24"/>
          <w:szCs w:val="24"/>
          <w:lang w:val="ro-RO" w:eastAsia="pl-PL"/>
        </w:rPr>
        <w:t>i</w:t>
      </w:r>
      <w:r w:rsidR="00342594" w:rsidRPr="00FE0FBD">
        <w:rPr>
          <w:rFonts w:ascii="Arial" w:hAnsi="Arial" w:cs="Arial"/>
          <w:bCs/>
          <w:sz w:val="24"/>
          <w:szCs w:val="24"/>
          <w:lang w:val="ro-RO" w:eastAsia="pl-PL"/>
        </w:rPr>
        <w:t>rea către proprietar a mijloacelor de joc, dovada achitării taxei achitată anticipat, constatarea verificărilor şi orice alte do</w:t>
      </w:r>
      <w:r w:rsidR="0038561F">
        <w:rPr>
          <w:rFonts w:ascii="Arial" w:hAnsi="Arial" w:cs="Arial"/>
          <w:bCs/>
          <w:sz w:val="24"/>
          <w:szCs w:val="24"/>
          <w:lang w:val="ro-RO" w:eastAsia="pl-PL"/>
        </w:rPr>
        <w:t>c</w:t>
      </w:r>
      <w:r w:rsidR="00342594" w:rsidRPr="00FE0FBD">
        <w:rPr>
          <w:rFonts w:ascii="Arial" w:hAnsi="Arial" w:cs="Arial"/>
          <w:bCs/>
          <w:sz w:val="24"/>
          <w:szCs w:val="24"/>
          <w:lang w:val="ro-RO" w:eastAsia="pl-PL"/>
        </w:rPr>
        <w:t>umente necesare, după caz)</w:t>
      </w:r>
      <w:r>
        <w:rPr>
          <w:rFonts w:ascii="Arial" w:hAnsi="Arial" w:cs="Arial"/>
          <w:bCs/>
          <w:sz w:val="24"/>
          <w:szCs w:val="24"/>
          <w:lang w:val="ro-RO" w:eastAsia="pl-PL"/>
        </w:rPr>
        <w:t>.</w:t>
      </w:r>
    </w:p>
    <w:p w14:paraId="360BE3F3" w14:textId="77777777" w:rsidR="00BB2AC3" w:rsidRPr="00FE0FBD" w:rsidRDefault="00BB2A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val="ro-RO"/>
        </w:rPr>
      </w:pPr>
    </w:p>
    <w:p w14:paraId="0134A5C4" w14:textId="77777777" w:rsidR="00BB2AC3" w:rsidRPr="00FE0FBD" w:rsidRDefault="003425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FE0FBD">
        <w:rPr>
          <w:rFonts w:ascii="Arial" w:hAnsi="Arial" w:cs="Arial"/>
          <w:b/>
          <w:bCs/>
          <w:sz w:val="24"/>
          <w:szCs w:val="24"/>
          <w:lang w:val="ro-RO"/>
        </w:rPr>
        <w:t>Ținând seama de:</w:t>
      </w:r>
    </w:p>
    <w:p w14:paraId="5BC8046D" w14:textId="04956986" w:rsidR="00BB2AC3" w:rsidRPr="00FE0FBD" w:rsidRDefault="00342594" w:rsidP="00F06893">
      <w:pPr>
        <w:numPr>
          <w:ilvl w:val="0"/>
          <w:numId w:val="2"/>
        </w:numPr>
        <w:tabs>
          <w:tab w:val="clear" w:pos="720"/>
          <w:tab w:val="left" w:pos="360"/>
          <w:tab w:val="left" w:pos="993"/>
        </w:tabs>
        <w:spacing w:line="276" w:lineRule="auto"/>
        <w:ind w:left="0" w:right="-85" w:firstLine="810"/>
        <w:jc w:val="both"/>
        <w:rPr>
          <w:rFonts w:ascii="Arial" w:hAnsi="Arial" w:cs="Arial"/>
          <w:lang w:val="ro-RO" w:eastAsia="pl-PL"/>
        </w:rPr>
      </w:pPr>
      <w:r w:rsidRPr="00FE0FBD">
        <w:rPr>
          <w:rFonts w:ascii="Arial" w:hAnsi="Arial" w:cs="Arial"/>
          <w:lang w:val="ro-RO" w:eastAsia="pl-PL"/>
        </w:rPr>
        <w:t xml:space="preserve">Ordonanţa de </w:t>
      </w:r>
      <w:r w:rsidR="0038561F">
        <w:rPr>
          <w:rFonts w:ascii="Arial" w:hAnsi="Arial" w:cs="Arial"/>
          <w:lang w:val="ro-RO" w:eastAsia="pl-PL"/>
        </w:rPr>
        <w:t>u</w:t>
      </w:r>
      <w:r w:rsidRPr="00FE0FBD">
        <w:rPr>
          <w:rFonts w:ascii="Arial" w:hAnsi="Arial" w:cs="Arial"/>
          <w:lang w:val="ro-RO" w:eastAsia="pl-PL"/>
        </w:rPr>
        <w:t>rgenţă a Guvernului nr. 77/2009 privind organizarea şi exploatarea jocurilor de noroc, aprobată</w:t>
      </w:r>
      <w:r w:rsidR="00674685">
        <w:rPr>
          <w:rFonts w:ascii="Arial" w:hAnsi="Arial" w:cs="Arial"/>
          <w:lang w:val="ro-RO" w:eastAsia="pl-PL"/>
        </w:rPr>
        <w:t xml:space="preserve"> </w:t>
      </w:r>
      <w:r w:rsidR="000D4499">
        <w:rPr>
          <w:rFonts w:ascii="Arial" w:hAnsi="Arial" w:cs="Arial"/>
          <w:color w:val="000000"/>
          <w:lang w:val="ro-RO"/>
        </w:rPr>
        <w:t>cu modificări și completă</w:t>
      </w:r>
      <w:r w:rsidR="00674685">
        <w:rPr>
          <w:rFonts w:ascii="Arial" w:hAnsi="Arial" w:cs="Arial"/>
          <w:color w:val="000000"/>
          <w:lang w:val="ro-RO"/>
        </w:rPr>
        <w:t xml:space="preserve">ri </w:t>
      </w:r>
      <w:r w:rsidRPr="00FE0FBD">
        <w:rPr>
          <w:rFonts w:ascii="Arial" w:hAnsi="Arial" w:cs="Arial"/>
          <w:lang w:val="ro-RO" w:eastAsia="pl-PL"/>
        </w:rPr>
        <w:t>prin Legea nr. 246/2010, cu modificările şi completările ulterioare;</w:t>
      </w:r>
    </w:p>
    <w:p w14:paraId="235EBA98" w14:textId="0CAA1ABC" w:rsidR="00BB2AC3" w:rsidRPr="0038561F" w:rsidRDefault="00342594" w:rsidP="006828F3">
      <w:pPr>
        <w:numPr>
          <w:ilvl w:val="0"/>
          <w:numId w:val="2"/>
        </w:numPr>
        <w:tabs>
          <w:tab w:val="clear" w:pos="720"/>
          <w:tab w:val="left" w:pos="993"/>
        </w:tabs>
        <w:spacing w:line="276" w:lineRule="auto"/>
        <w:ind w:left="0" w:right="-85" w:firstLine="810"/>
        <w:jc w:val="both"/>
        <w:rPr>
          <w:rFonts w:ascii="Arial" w:hAnsi="Arial" w:cs="Arial"/>
          <w:lang w:val="ro-RO" w:eastAsia="pl-PL"/>
        </w:rPr>
      </w:pPr>
      <w:r w:rsidRPr="0038561F">
        <w:rPr>
          <w:rFonts w:ascii="Arial" w:hAnsi="Arial" w:cs="Arial"/>
          <w:lang w:val="ro-RO" w:eastAsia="pl-PL"/>
        </w:rPr>
        <w:t xml:space="preserve">Hotărârea Guvernului nr. 111/2016 pentru aprobarea Normelor metodologice de punere în aplicare a Ordonanţei de </w:t>
      </w:r>
      <w:r w:rsidR="0038561F" w:rsidRPr="0038561F">
        <w:rPr>
          <w:rFonts w:ascii="Arial" w:hAnsi="Arial" w:cs="Arial"/>
          <w:lang w:val="ro-RO" w:eastAsia="pl-PL"/>
        </w:rPr>
        <w:t>u</w:t>
      </w:r>
      <w:r w:rsidRPr="0038561F">
        <w:rPr>
          <w:rFonts w:ascii="Arial" w:hAnsi="Arial" w:cs="Arial"/>
          <w:lang w:val="ro-RO" w:eastAsia="pl-PL"/>
        </w:rPr>
        <w:t>rgenţă a Guvernului nr. 77/2009 privind organizarea şi</w:t>
      </w:r>
      <w:r w:rsidR="0038561F">
        <w:rPr>
          <w:rFonts w:ascii="Arial" w:hAnsi="Arial" w:cs="Arial"/>
          <w:lang w:val="ro-RO" w:eastAsia="pl-PL"/>
        </w:rPr>
        <w:t xml:space="preserve"> </w:t>
      </w:r>
      <w:r w:rsidRPr="0038561F">
        <w:rPr>
          <w:rFonts w:ascii="Arial" w:hAnsi="Arial" w:cs="Arial"/>
          <w:lang w:val="ro-RO" w:eastAsia="pl-PL"/>
        </w:rPr>
        <w:lastRenderedPageBreak/>
        <w:t xml:space="preserve">exploatarea jocurilor de noroc şi pentru modificarea şi completarea Hotărârii Guvernului nr. 298/2013 privind organizarea şi funcţionarea Oficiului Naţional pentru Jocuri de Noroc şi pentru modificarea Hotărârii Guvernului nr. 870/2009 pentru aprobarea Normelor metodologice de aplicare a Ordonanţei de </w:t>
      </w:r>
      <w:r w:rsidR="0038561F">
        <w:rPr>
          <w:rFonts w:ascii="Arial" w:hAnsi="Arial" w:cs="Arial"/>
          <w:lang w:val="ro-RO" w:eastAsia="pl-PL"/>
        </w:rPr>
        <w:t>u</w:t>
      </w:r>
      <w:r w:rsidRPr="0038561F">
        <w:rPr>
          <w:rFonts w:ascii="Arial" w:hAnsi="Arial" w:cs="Arial"/>
          <w:lang w:val="ro-RO" w:eastAsia="pl-PL"/>
        </w:rPr>
        <w:t>rgenţă a Guvernului nr. 77/2009</w:t>
      </w:r>
      <w:r w:rsidR="00674685">
        <w:rPr>
          <w:rFonts w:ascii="Arial" w:hAnsi="Arial" w:cs="Arial"/>
          <w:lang w:val="ro-RO" w:eastAsia="pl-PL"/>
        </w:rPr>
        <w:t xml:space="preserve"> </w:t>
      </w:r>
      <w:r w:rsidR="003A1BAF">
        <w:rPr>
          <w:rFonts w:ascii="Arial" w:hAnsi="Arial" w:cs="Arial"/>
          <w:color w:val="000000"/>
          <w:lang w:val="ro-RO"/>
        </w:rPr>
        <w:t>cu modifică</w:t>
      </w:r>
      <w:r w:rsidR="00674685">
        <w:rPr>
          <w:rFonts w:ascii="Arial" w:hAnsi="Arial" w:cs="Arial"/>
          <w:color w:val="000000"/>
          <w:lang w:val="ro-RO"/>
        </w:rPr>
        <w:t xml:space="preserve">rile </w:t>
      </w:r>
      <w:r w:rsidR="003A1BAF">
        <w:rPr>
          <w:rFonts w:ascii="Arial" w:hAnsi="Arial" w:cs="Arial"/>
          <w:color w:val="000000"/>
          <w:lang w:val="ro-RO"/>
        </w:rPr>
        <w:t>ș</w:t>
      </w:r>
      <w:r w:rsidR="00674685">
        <w:rPr>
          <w:rFonts w:ascii="Arial" w:hAnsi="Arial" w:cs="Arial"/>
          <w:color w:val="000000"/>
          <w:lang w:val="ro-RO"/>
        </w:rPr>
        <w:t>i complet</w:t>
      </w:r>
      <w:r w:rsidR="003A1BAF">
        <w:rPr>
          <w:rFonts w:ascii="Arial" w:hAnsi="Arial" w:cs="Arial"/>
          <w:color w:val="000000"/>
          <w:lang w:val="ro-RO"/>
        </w:rPr>
        <w:t>ă</w:t>
      </w:r>
      <w:r w:rsidR="00674685">
        <w:rPr>
          <w:rFonts w:ascii="Arial" w:hAnsi="Arial" w:cs="Arial"/>
          <w:color w:val="000000"/>
          <w:lang w:val="ro-RO"/>
        </w:rPr>
        <w:t>rile ulterioare</w:t>
      </w:r>
      <w:r w:rsidRPr="0038561F">
        <w:rPr>
          <w:rFonts w:ascii="Arial" w:hAnsi="Arial" w:cs="Arial"/>
          <w:lang w:val="ro-RO" w:eastAsia="pl-PL"/>
        </w:rPr>
        <w:t xml:space="preserve"> şi pentru abrogarea Hotărârii Guvernului nr. 870/2009 privind organizarea şi exploatarea jocurilor de noroc, cu modificările şi completările ulterioare;</w:t>
      </w:r>
    </w:p>
    <w:p w14:paraId="042914DE" w14:textId="77777777" w:rsidR="00BB2AC3" w:rsidRPr="00FE0FBD" w:rsidRDefault="00342594" w:rsidP="00F06893">
      <w:pPr>
        <w:numPr>
          <w:ilvl w:val="0"/>
          <w:numId w:val="2"/>
        </w:numPr>
        <w:tabs>
          <w:tab w:val="clear" w:pos="720"/>
          <w:tab w:val="left" w:pos="360"/>
          <w:tab w:val="left" w:pos="993"/>
        </w:tabs>
        <w:spacing w:line="276" w:lineRule="auto"/>
        <w:ind w:left="0" w:right="-85" w:firstLine="810"/>
        <w:jc w:val="both"/>
        <w:rPr>
          <w:rFonts w:ascii="Arial" w:hAnsi="Arial" w:cs="Arial"/>
          <w:lang w:val="ro-RO" w:eastAsia="pl-PL"/>
        </w:rPr>
      </w:pPr>
      <w:r w:rsidRPr="00FE0FBD">
        <w:rPr>
          <w:rFonts w:ascii="Arial" w:hAnsi="Arial" w:cs="Arial"/>
          <w:lang w:val="ro-RO" w:eastAsia="pl-PL"/>
        </w:rPr>
        <w:t>Decizia Prim-Ministrului nr. 295/2021 privind numirea membrilor Comitetului de supraveghere al Oficiului Naţional pentru Jocuri de Noroc, cu modificările şi completările ulterioare;</w:t>
      </w:r>
    </w:p>
    <w:p w14:paraId="37122C3E" w14:textId="051E5E04" w:rsidR="00BB2AC3" w:rsidRPr="00FE0FBD" w:rsidRDefault="00342594" w:rsidP="00F06893">
      <w:pPr>
        <w:numPr>
          <w:ilvl w:val="0"/>
          <w:numId w:val="2"/>
        </w:numPr>
        <w:tabs>
          <w:tab w:val="clear" w:pos="720"/>
          <w:tab w:val="left" w:pos="360"/>
          <w:tab w:val="left" w:pos="993"/>
        </w:tabs>
        <w:spacing w:line="276" w:lineRule="auto"/>
        <w:ind w:left="0" w:right="-85" w:firstLine="810"/>
        <w:jc w:val="both"/>
        <w:rPr>
          <w:rFonts w:ascii="Arial" w:hAnsi="Arial" w:cs="Arial"/>
          <w:lang w:val="ro-RO" w:eastAsia="pl-PL"/>
        </w:rPr>
      </w:pPr>
      <w:r w:rsidRPr="00FE0FBD">
        <w:rPr>
          <w:rFonts w:ascii="Arial" w:hAnsi="Arial" w:cs="Arial"/>
          <w:lang w:val="ro-RO" w:eastAsia="pl-PL"/>
        </w:rPr>
        <w:t xml:space="preserve">Ordonanţa de </w:t>
      </w:r>
      <w:r w:rsidR="0038561F">
        <w:rPr>
          <w:rFonts w:ascii="Arial" w:hAnsi="Arial" w:cs="Arial"/>
          <w:lang w:val="ro-RO" w:eastAsia="pl-PL"/>
        </w:rPr>
        <w:t>u</w:t>
      </w:r>
      <w:r w:rsidRPr="00FE0FBD">
        <w:rPr>
          <w:rFonts w:ascii="Arial" w:hAnsi="Arial" w:cs="Arial"/>
          <w:lang w:val="ro-RO" w:eastAsia="pl-PL"/>
        </w:rPr>
        <w:t xml:space="preserve">rgenţă a Guvernului nr. 20/2013 privind înfiinţarea, organizarea şi funcţionarea Oficiului Naţional pentru Jocuri de Noroc şi pentru modificarea şi completarea Ordonanţei de </w:t>
      </w:r>
      <w:r w:rsidR="005F74F6">
        <w:rPr>
          <w:rFonts w:ascii="Arial" w:hAnsi="Arial" w:cs="Arial"/>
          <w:lang w:val="ro-RO" w:eastAsia="pl-PL"/>
        </w:rPr>
        <w:t>u</w:t>
      </w:r>
      <w:r w:rsidRPr="00FE0FBD">
        <w:rPr>
          <w:rFonts w:ascii="Arial" w:hAnsi="Arial" w:cs="Arial"/>
          <w:lang w:val="ro-RO" w:eastAsia="pl-PL"/>
        </w:rPr>
        <w:t>rgenţă a Guvernului nr. 77/2009 privind organizarea şi exploatarea jocurilor de noroc, aprobată cu modificări şi completări prin Legea nr. 227/2013, cu modificările şi completările ulterioare;</w:t>
      </w:r>
    </w:p>
    <w:p w14:paraId="4F3804B7" w14:textId="77777777" w:rsidR="00BB2AC3" w:rsidRPr="00FE0FBD" w:rsidRDefault="00342594" w:rsidP="00F06893">
      <w:pPr>
        <w:numPr>
          <w:ilvl w:val="0"/>
          <w:numId w:val="2"/>
        </w:numPr>
        <w:tabs>
          <w:tab w:val="clear" w:pos="720"/>
          <w:tab w:val="left" w:pos="360"/>
          <w:tab w:val="left" w:pos="993"/>
        </w:tabs>
        <w:spacing w:line="276" w:lineRule="auto"/>
        <w:ind w:left="0" w:right="-85" w:firstLine="810"/>
        <w:jc w:val="both"/>
        <w:rPr>
          <w:rFonts w:ascii="Arial" w:hAnsi="Arial" w:cs="Arial"/>
          <w:lang w:val="ro-RO" w:eastAsia="pl-PL"/>
        </w:rPr>
      </w:pPr>
      <w:r w:rsidRPr="00FE0FBD">
        <w:rPr>
          <w:rFonts w:ascii="Arial" w:hAnsi="Arial" w:cs="Arial"/>
          <w:lang w:val="ro-RO" w:eastAsia="pl-PL"/>
        </w:rPr>
        <w:t>Hotărârea Guvernului nr. 298/2013 privind organizarea şi funcţionarea Oficiului Naţional pentru Jocuri de Noroc, cu modificările şi completările ulterioare;</w:t>
      </w:r>
    </w:p>
    <w:p w14:paraId="3319B12E" w14:textId="77777777" w:rsidR="00BB2AC3" w:rsidRPr="00FE0FBD" w:rsidRDefault="00342594" w:rsidP="00F06893">
      <w:pPr>
        <w:numPr>
          <w:ilvl w:val="0"/>
          <w:numId w:val="2"/>
        </w:numPr>
        <w:tabs>
          <w:tab w:val="clear" w:pos="720"/>
          <w:tab w:val="left" w:pos="360"/>
          <w:tab w:val="left" w:pos="993"/>
        </w:tabs>
        <w:spacing w:line="276" w:lineRule="auto"/>
        <w:ind w:left="0" w:right="-85" w:firstLine="810"/>
        <w:jc w:val="both"/>
        <w:rPr>
          <w:rFonts w:ascii="Arial" w:hAnsi="Arial" w:cs="Arial"/>
          <w:lang w:val="ro-RO" w:eastAsia="pl-PL"/>
        </w:rPr>
      </w:pPr>
      <w:r w:rsidRPr="00FE0FBD">
        <w:rPr>
          <w:rFonts w:ascii="Arial" w:hAnsi="Arial" w:cs="Arial"/>
          <w:lang w:val="ro-RO" w:eastAsia="pl-PL"/>
        </w:rPr>
        <w:t>Legea contenciosului administrativ nr. 554/2004, cu modificările şi completările ulterioare.</w:t>
      </w:r>
    </w:p>
    <w:p w14:paraId="7BAEFD3C" w14:textId="77777777" w:rsidR="00BB2AC3" w:rsidRPr="00FE0FBD" w:rsidRDefault="00BB2AC3">
      <w:pPr>
        <w:tabs>
          <w:tab w:val="left" w:pos="993"/>
        </w:tabs>
        <w:spacing w:line="276" w:lineRule="auto"/>
        <w:ind w:right="-85"/>
        <w:jc w:val="both"/>
        <w:rPr>
          <w:rFonts w:ascii="Arial" w:hAnsi="Arial" w:cs="Arial"/>
          <w:lang w:val="ro-RO" w:eastAsia="pl-PL"/>
        </w:rPr>
      </w:pPr>
    </w:p>
    <w:p w14:paraId="0335EA9A" w14:textId="77777777" w:rsidR="00BB2AC3" w:rsidRPr="00FE0FBD" w:rsidRDefault="0034259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ro-RO" w:eastAsia="pl-PL"/>
        </w:rPr>
      </w:pPr>
      <w:r w:rsidRPr="00FE0FBD">
        <w:rPr>
          <w:rFonts w:ascii="Arial" w:hAnsi="Arial" w:cs="Arial"/>
          <w:b/>
          <w:sz w:val="24"/>
          <w:szCs w:val="24"/>
          <w:lang w:val="ro-RO" w:eastAsia="pl-PL"/>
        </w:rPr>
        <w:t>Temeiul de drept:</w:t>
      </w:r>
    </w:p>
    <w:p w14:paraId="4675B68A" w14:textId="77777777" w:rsidR="00BB2AC3" w:rsidRPr="00FE0FBD" w:rsidRDefault="00BB2AC3">
      <w:pPr>
        <w:pStyle w:val="ListParagraph"/>
        <w:spacing w:line="276" w:lineRule="auto"/>
        <w:ind w:left="1146"/>
        <w:jc w:val="both"/>
        <w:rPr>
          <w:rFonts w:ascii="Arial" w:hAnsi="Arial" w:cs="Arial"/>
          <w:b/>
          <w:sz w:val="24"/>
          <w:szCs w:val="24"/>
          <w:lang w:val="ro-RO" w:eastAsia="pl-PL"/>
        </w:rPr>
      </w:pPr>
    </w:p>
    <w:p w14:paraId="2CE8A680" w14:textId="3B154D44" w:rsidR="00BB2AC3" w:rsidRPr="00FE0FBD" w:rsidRDefault="00342594" w:rsidP="004F162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ind w:left="0" w:firstLine="45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FE0FBD">
        <w:rPr>
          <w:rFonts w:ascii="Arial" w:hAnsi="Arial" w:cs="Arial"/>
          <w:bCs/>
          <w:sz w:val="24"/>
          <w:szCs w:val="24"/>
          <w:lang w:val="ro-RO"/>
        </w:rPr>
        <w:t>art. 12 alin. (5) şi art. 17 alin. (9</w:t>
      </w:r>
      <w:r w:rsidRPr="00FE0FBD">
        <w:rPr>
          <w:rFonts w:ascii="Arial" w:hAnsi="Arial" w:cs="Arial"/>
          <w:bCs/>
          <w:sz w:val="24"/>
          <w:szCs w:val="24"/>
          <w:vertAlign w:val="superscript"/>
          <w:lang w:val="ro-RO"/>
        </w:rPr>
        <w:t>2</w:t>
      </w:r>
      <w:r w:rsidRPr="00FE0FBD">
        <w:rPr>
          <w:rFonts w:ascii="Arial" w:hAnsi="Arial" w:cs="Arial"/>
          <w:bCs/>
          <w:sz w:val="24"/>
          <w:szCs w:val="24"/>
          <w:lang w:val="ro-RO"/>
        </w:rPr>
        <w:t xml:space="preserve">) din </w:t>
      </w:r>
      <w:r w:rsidRPr="00FE0FBD">
        <w:rPr>
          <w:rFonts w:ascii="Arial" w:hAnsi="Arial" w:cs="Arial"/>
          <w:sz w:val="24"/>
          <w:szCs w:val="24"/>
          <w:lang w:val="ro-RO"/>
        </w:rPr>
        <w:t xml:space="preserve">Ordonanţa de </w:t>
      </w:r>
      <w:r w:rsidR="005F74F6">
        <w:rPr>
          <w:rFonts w:ascii="Arial" w:hAnsi="Arial" w:cs="Arial"/>
          <w:sz w:val="24"/>
          <w:szCs w:val="24"/>
          <w:lang w:val="ro-RO"/>
        </w:rPr>
        <w:t>u</w:t>
      </w:r>
      <w:r w:rsidRPr="00FE0FBD">
        <w:rPr>
          <w:rFonts w:ascii="Arial" w:hAnsi="Arial" w:cs="Arial"/>
          <w:sz w:val="24"/>
          <w:szCs w:val="24"/>
          <w:lang w:val="ro-RO"/>
        </w:rPr>
        <w:t>rgenţă a Guvernului nr. 77</w:t>
      </w:r>
      <w:r w:rsidRPr="00FE0FBD">
        <w:rPr>
          <w:rFonts w:ascii="Arial" w:hAnsi="Arial" w:cs="Arial"/>
          <w:bCs/>
          <w:sz w:val="24"/>
          <w:szCs w:val="24"/>
          <w:lang w:val="ro-RO"/>
        </w:rPr>
        <w:t>/2009</w:t>
      </w:r>
      <w:r w:rsidR="00674685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674685">
        <w:rPr>
          <w:rFonts w:ascii="Arial" w:hAnsi="Arial" w:cs="Arial"/>
          <w:color w:val="000000"/>
          <w:sz w:val="24"/>
          <w:szCs w:val="24"/>
          <w:lang w:val="ro-RO"/>
        </w:rPr>
        <w:t>cu modific</w:t>
      </w:r>
      <w:r w:rsidR="00AC6D4E">
        <w:rPr>
          <w:rFonts w:ascii="Arial" w:hAnsi="Arial" w:cs="Arial"/>
          <w:color w:val="000000"/>
          <w:sz w:val="24"/>
          <w:szCs w:val="24"/>
          <w:lang w:val="ro-RO"/>
        </w:rPr>
        <w:t>ă</w:t>
      </w:r>
      <w:r w:rsidR="00674685">
        <w:rPr>
          <w:rFonts w:ascii="Arial" w:hAnsi="Arial" w:cs="Arial"/>
          <w:color w:val="000000"/>
          <w:sz w:val="24"/>
          <w:szCs w:val="24"/>
          <w:lang w:val="ro-RO"/>
        </w:rPr>
        <w:t xml:space="preserve">rile </w:t>
      </w:r>
      <w:r w:rsidR="00AC6D4E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="00674685">
        <w:rPr>
          <w:rFonts w:ascii="Arial" w:hAnsi="Arial" w:cs="Arial"/>
          <w:color w:val="000000"/>
          <w:sz w:val="24"/>
          <w:szCs w:val="24"/>
          <w:lang w:val="ro-RO"/>
        </w:rPr>
        <w:t>i complet</w:t>
      </w:r>
      <w:r w:rsidR="00AC6D4E">
        <w:rPr>
          <w:rFonts w:ascii="Arial" w:hAnsi="Arial" w:cs="Arial"/>
          <w:color w:val="000000"/>
          <w:sz w:val="24"/>
          <w:szCs w:val="24"/>
          <w:lang w:val="ro-RO"/>
        </w:rPr>
        <w:t>ă</w:t>
      </w:r>
      <w:r w:rsidR="00674685">
        <w:rPr>
          <w:rFonts w:ascii="Arial" w:hAnsi="Arial" w:cs="Arial"/>
          <w:color w:val="000000"/>
          <w:sz w:val="24"/>
          <w:szCs w:val="24"/>
          <w:lang w:val="ro-RO"/>
        </w:rPr>
        <w:t>rile ulterioare</w:t>
      </w:r>
      <w:r w:rsidR="00BA1690">
        <w:rPr>
          <w:rFonts w:ascii="Arial" w:hAnsi="Arial" w:cs="Arial"/>
          <w:color w:val="000000"/>
          <w:sz w:val="24"/>
          <w:szCs w:val="24"/>
          <w:lang w:val="ro-RO"/>
        </w:rPr>
        <w:t>;</w:t>
      </w:r>
    </w:p>
    <w:p w14:paraId="2CD23C8A" w14:textId="1CDB2C3E" w:rsidR="00F13007" w:rsidRPr="0000315B" w:rsidRDefault="00342594" w:rsidP="004F162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ind w:hanging="27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FE0FBD">
        <w:rPr>
          <w:rFonts w:ascii="Arial" w:hAnsi="Arial" w:cs="Arial"/>
          <w:bCs/>
          <w:sz w:val="24"/>
          <w:szCs w:val="24"/>
          <w:lang w:val="ro-RO"/>
        </w:rPr>
        <w:t xml:space="preserve">art. 7 alin. (2) din </w:t>
      </w:r>
      <w:r w:rsidRPr="00FE0FBD">
        <w:rPr>
          <w:rFonts w:ascii="Arial" w:hAnsi="Arial" w:cs="Arial"/>
          <w:sz w:val="24"/>
          <w:szCs w:val="24"/>
          <w:lang w:val="ro-RO"/>
        </w:rPr>
        <w:t xml:space="preserve">Ordonanţa de </w:t>
      </w:r>
      <w:r w:rsidR="005F74F6">
        <w:rPr>
          <w:rFonts w:ascii="Arial" w:hAnsi="Arial" w:cs="Arial"/>
          <w:sz w:val="24"/>
          <w:szCs w:val="24"/>
          <w:lang w:val="ro-RO"/>
        </w:rPr>
        <w:t>u</w:t>
      </w:r>
      <w:r w:rsidRPr="00FE0FBD">
        <w:rPr>
          <w:rFonts w:ascii="Arial" w:hAnsi="Arial" w:cs="Arial"/>
          <w:sz w:val="24"/>
          <w:szCs w:val="24"/>
          <w:lang w:val="ro-RO"/>
        </w:rPr>
        <w:t>rgenţă a Guvernului nr. 20</w:t>
      </w:r>
      <w:r w:rsidRPr="00FE0FBD">
        <w:rPr>
          <w:rFonts w:ascii="Arial" w:hAnsi="Arial" w:cs="Arial"/>
          <w:bCs/>
          <w:sz w:val="24"/>
          <w:szCs w:val="24"/>
          <w:lang w:val="ro-RO"/>
        </w:rPr>
        <w:t>/2013;</w:t>
      </w:r>
    </w:p>
    <w:p w14:paraId="74484939" w14:textId="3A07860D" w:rsidR="00BB2AC3" w:rsidRPr="00FE0FBD" w:rsidRDefault="00F13007" w:rsidP="004F162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ind w:left="0" w:firstLine="45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[</w:t>
      </w:r>
      <w:bookmarkStart w:id="2" w:name="_Hlk179458608"/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suferit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modificări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determinat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renunţ</w:t>
      </w:r>
      <w:r>
        <w:rPr>
          <w:rFonts w:ascii="Arial" w:hAnsi="Arial" w:cs="Arial"/>
          <w:sz w:val="24"/>
          <w:szCs w:val="24"/>
        </w:rPr>
        <w:t>area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13007">
        <w:rPr>
          <w:rFonts w:ascii="Arial" w:hAnsi="Arial" w:cs="Arial"/>
          <w:sz w:val="24"/>
          <w:szCs w:val="24"/>
        </w:rPr>
        <w:t>licenţa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3007">
        <w:rPr>
          <w:rFonts w:ascii="Arial" w:hAnsi="Arial" w:cs="Arial"/>
          <w:sz w:val="24"/>
          <w:szCs w:val="24"/>
        </w:rPr>
        <w:t>organizator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sau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încet</w:t>
      </w:r>
      <w:r>
        <w:rPr>
          <w:rFonts w:ascii="Arial" w:hAnsi="Arial" w:cs="Arial"/>
          <w:sz w:val="24"/>
          <w:szCs w:val="24"/>
        </w:rPr>
        <w:t>area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exploat</w:t>
      </w:r>
      <w:r>
        <w:rPr>
          <w:rFonts w:ascii="Arial" w:hAnsi="Arial" w:cs="Arial"/>
          <w:sz w:val="24"/>
          <w:szCs w:val="24"/>
        </w:rPr>
        <w:t>ării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anumit</w:t>
      </w:r>
      <w:r>
        <w:rPr>
          <w:rFonts w:ascii="Arial" w:hAnsi="Arial" w:cs="Arial"/>
          <w:sz w:val="24"/>
          <w:szCs w:val="24"/>
        </w:rPr>
        <w:t>or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activităţi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3007">
        <w:rPr>
          <w:rFonts w:ascii="Arial" w:hAnsi="Arial" w:cs="Arial"/>
          <w:sz w:val="24"/>
          <w:szCs w:val="24"/>
        </w:rPr>
        <w:t>jocuri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3007">
        <w:rPr>
          <w:rFonts w:ascii="Arial" w:hAnsi="Arial" w:cs="Arial"/>
          <w:sz w:val="24"/>
          <w:szCs w:val="24"/>
        </w:rPr>
        <w:t>noroc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sau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mijloace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3007">
        <w:rPr>
          <w:rFonts w:ascii="Arial" w:hAnsi="Arial" w:cs="Arial"/>
          <w:sz w:val="24"/>
          <w:szCs w:val="24"/>
        </w:rPr>
        <w:t>joc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, ca </w:t>
      </w:r>
      <w:proofErr w:type="spellStart"/>
      <w:r w:rsidRPr="00F13007">
        <w:rPr>
          <w:rFonts w:ascii="Arial" w:hAnsi="Arial" w:cs="Arial"/>
          <w:sz w:val="24"/>
          <w:szCs w:val="24"/>
        </w:rPr>
        <w:t>urmare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13007">
        <w:rPr>
          <w:rFonts w:ascii="Arial" w:hAnsi="Arial" w:cs="Arial"/>
          <w:sz w:val="24"/>
          <w:szCs w:val="24"/>
        </w:rPr>
        <w:t>faptului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că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F13007">
        <w:rPr>
          <w:rFonts w:ascii="Arial" w:hAnsi="Arial" w:cs="Arial"/>
          <w:sz w:val="24"/>
          <w:szCs w:val="24"/>
        </w:rPr>
        <w:t>mai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îndeplinesc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condiţiile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legale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13007">
        <w:rPr>
          <w:rFonts w:ascii="Arial" w:hAnsi="Arial" w:cs="Arial"/>
          <w:sz w:val="24"/>
          <w:szCs w:val="24"/>
        </w:rPr>
        <w:t>organizare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sau</w:t>
      </w:r>
      <w:proofErr w:type="spellEnd"/>
      <w:r w:rsidRPr="00F13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3007">
        <w:rPr>
          <w:rFonts w:ascii="Arial" w:hAnsi="Arial" w:cs="Arial"/>
          <w:sz w:val="24"/>
          <w:szCs w:val="24"/>
        </w:rPr>
        <w:t>exploatare</w:t>
      </w:r>
      <w:bookmarkEnd w:id="2"/>
      <w:proofErr w:type="spellEnd"/>
      <w:r>
        <w:rPr>
          <w:rFonts w:ascii="Arial" w:hAnsi="Arial" w:cs="Arial"/>
          <w:sz w:val="24"/>
          <w:szCs w:val="24"/>
        </w:rPr>
        <w:t>]</w:t>
      </w:r>
      <w:r w:rsidR="007E1D04">
        <w:rPr>
          <w:rFonts w:ascii="Arial" w:hAnsi="Arial" w:cs="Arial"/>
          <w:sz w:val="24"/>
          <w:szCs w:val="24"/>
          <w:lang w:val="ro-RO"/>
        </w:rPr>
        <w:t>;</w:t>
      </w:r>
      <w:r w:rsidRPr="00FE0FBD">
        <w:rPr>
          <w:rFonts w:ascii="Arial" w:hAnsi="Arial" w:cs="Arial"/>
          <w:sz w:val="24"/>
          <w:szCs w:val="24"/>
        </w:rPr>
        <w:t xml:space="preserve">         </w:t>
      </w:r>
    </w:p>
    <w:p w14:paraId="142E0FEA" w14:textId="77777777" w:rsidR="00BB2AC3" w:rsidRPr="00FE0FBD" w:rsidRDefault="00342594">
      <w:pPr>
        <w:pStyle w:val="CaracterCaracter1"/>
        <w:spacing w:line="276" w:lineRule="auto"/>
        <w:ind w:left="-360" w:firstLine="360"/>
        <w:jc w:val="both"/>
        <w:rPr>
          <w:rFonts w:ascii="Arial" w:hAnsi="Arial" w:cs="Arial"/>
        </w:rPr>
      </w:pPr>
      <w:r w:rsidRPr="00FE0FBD">
        <w:rPr>
          <w:rFonts w:ascii="Arial" w:hAnsi="Arial" w:cs="Arial"/>
        </w:rPr>
        <w:t xml:space="preserve">     </w:t>
      </w:r>
    </w:p>
    <w:p w14:paraId="46252F64" w14:textId="77777777" w:rsidR="00BB2AC3" w:rsidRPr="00FE0FBD" w:rsidRDefault="00342594">
      <w:pPr>
        <w:spacing w:line="276" w:lineRule="auto"/>
        <w:jc w:val="center"/>
        <w:rPr>
          <w:rFonts w:ascii="Arial" w:hAnsi="Arial" w:cs="Arial"/>
          <w:b/>
          <w:lang w:val="ro-RO" w:eastAsia="pl-PL"/>
        </w:rPr>
      </w:pPr>
      <w:r w:rsidRPr="00FE0FBD">
        <w:rPr>
          <w:rFonts w:ascii="Arial" w:hAnsi="Arial" w:cs="Arial"/>
          <w:b/>
          <w:lang w:val="ro-RO" w:eastAsia="pl-PL"/>
        </w:rPr>
        <w:t>Comitetul de Supraveghere întrunit în ședință în data de ............</w:t>
      </w:r>
    </w:p>
    <w:p w14:paraId="1B97EFB0" w14:textId="77777777" w:rsidR="00BB2AC3" w:rsidRPr="00FE0FBD" w:rsidRDefault="00BB2AC3">
      <w:pPr>
        <w:spacing w:line="276" w:lineRule="auto"/>
        <w:jc w:val="center"/>
        <w:rPr>
          <w:rFonts w:ascii="Arial" w:hAnsi="Arial" w:cs="Arial"/>
          <w:b/>
          <w:lang w:val="ro-RO" w:eastAsia="pl-PL"/>
        </w:rPr>
      </w:pPr>
    </w:p>
    <w:p w14:paraId="2ED2FD0B" w14:textId="77777777" w:rsidR="00BB2AC3" w:rsidRPr="00FE0FBD" w:rsidRDefault="00342594">
      <w:pPr>
        <w:spacing w:line="276" w:lineRule="auto"/>
        <w:jc w:val="center"/>
        <w:rPr>
          <w:rFonts w:ascii="Arial" w:hAnsi="Arial" w:cs="Arial"/>
          <w:b/>
          <w:lang w:val="ro-RO" w:eastAsia="pl-PL"/>
        </w:rPr>
      </w:pPr>
      <w:r w:rsidRPr="00FE0FBD">
        <w:rPr>
          <w:rFonts w:ascii="Arial" w:hAnsi="Arial" w:cs="Arial"/>
          <w:b/>
          <w:lang w:val="ro-RO" w:eastAsia="pl-PL"/>
        </w:rPr>
        <w:t>DECIDE :</w:t>
      </w:r>
    </w:p>
    <w:p w14:paraId="6F425B1F" w14:textId="77777777" w:rsidR="00BB2AC3" w:rsidRPr="00FE0FBD" w:rsidRDefault="00BB2AC3">
      <w:pPr>
        <w:spacing w:line="276" w:lineRule="auto"/>
        <w:jc w:val="center"/>
        <w:rPr>
          <w:rFonts w:ascii="Arial" w:hAnsi="Arial" w:cs="Arial"/>
          <w:b/>
          <w:lang w:val="ro-RO" w:eastAsia="pl-PL"/>
        </w:rPr>
      </w:pPr>
    </w:p>
    <w:p w14:paraId="5FAEA314" w14:textId="4529246C" w:rsidR="00BB2AC3" w:rsidRPr="00891F83" w:rsidRDefault="0034259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ro-RO"/>
        </w:rPr>
      </w:pPr>
      <w:r w:rsidRPr="00891F83">
        <w:rPr>
          <w:rFonts w:ascii="Arial" w:hAnsi="Arial" w:cs="Arial"/>
          <w:b/>
          <w:lang w:val="ro-RO"/>
        </w:rPr>
        <w:t xml:space="preserve">Art. 1.   </w:t>
      </w:r>
      <w:r w:rsidRPr="00891F83">
        <w:rPr>
          <w:rFonts w:ascii="Arial" w:hAnsi="Arial" w:cs="Arial"/>
          <w:lang w:val="ro-RO"/>
        </w:rPr>
        <w:t>Îndeplinirea condiţiilor prevăzute de art. 17 alin. (9</w:t>
      </w:r>
      <w:r w:rsidRPr="00891F83">
        <w:rPr>
          <w:rFonts w:ascii="Arial" w:hAnsi="Arial" w:cs="Arial"/>
          <w:vertAlign w:val="superscript"/>
          <w:lang w:val="ro-RO"/>
        </w:rPr>
        <w:t>2</w:t>
      </w:r>
      <w:r w:rsidRPr="00891F83">
        <w:rPr>
          <w:rFonts w:ascii="Arial" w:hAnsi="Arial" w:cs="Arial"/>
          <w:lang w:val="ro-RO"/>
        </w:rPr>
        <w:t xml:space="preserve">) din Ordonanţa de </w:t>
      </w:r>
      <w:r w:rsidR="005B5EFF" w:rsidRPr="00891F83">
        <w:rPr>
          <w:rFonts w:ascii="Arial" w:hAnsi="Arial" w:cs="Arial"/>
          <w:lang w:val="ro-RO"/>
        </w:rPr>
        <w:t>u</w:t>
      </w:r>
      <w:r w:rsidRPr="00891F83">
        <w:rPr>
          <w:rFonts w:ascii="Arial" w:hAnsi="Arial" w:cs="Arial"/>
          <w:lang w:val="ro-RO"/>
        </w:rPr>
        <w:t>rgenţă a Guvernului nr. 77/2009</w:t>
      </w:r>
      <w:r w:rsidR="00674685">
        <w:rPr>
          <w:rFonts w:ascii="Arial" w:hAnsi="Arial" w:cs="Arial"/>
          <w:lang w:val="ro-RO"/>
        </w:rPr>
        <w:t xml:space="preserve"> </w:t>
      </w:r>
      <w:r w:rsidR="00674685">
        <w:rPr>
          <w:rFonts w:ascii="Arial" w:hAnsi="Arial" w:cs="Arial"/>
          <w:color w:val="000000"/>
          <w:lang w:val="ro-RO"/>
        </w:rPr>
        <w:t>cu modific</w:t>
      </w:r>
      <w:r w:rsidR="00854665">
        <w:rPr>
          <w:rFonts w:ascii="Arial" w:hAnsi="Arial" w:cs="Arial"/>
          <w:color w:val="000000"/>
          <w:lang w:val="ro-RO"/>
        </w:rPr>
        <w:t>ările ș</w:t>
      </w:r>
      <w:r w:rsidR="00674685">
        <w:rPr>
          <w:rFonts w:ascii="Arial" w:hAnsi="Arial" w:cs="Arial"/>
          <w:color w:val="000000"/>
          <w:lang w:val="ro-RO"/>
        </w:rPr>
        <w:t>i complet</w:t>
      </w:r>
      <w:r w:rsidR="00854665">
        <w:rPr>
          <w:rFonts w:ascii="Arial" w:hAnsi="Arial" w:cs="Arial"/>
          <w:color w:val="000000"/>
          <w:lang w:val="ro-RO"/>
        </w:rPr>
        <w:t>ă</w:t>
      </w:r>
      <w:r w:rsidR="00674685">
        <w:rPr>
          <w:rFonts w:ascii="Arial" w:hAnsi="Arial" w:cs="Arial"/>
          <w:color w:val="000000"/>
          <w:lang w:val="ro-RO"/>
        </w:rPr>
        <w:t>rile ulterioare,</w:t>
      </w:r>
      <w:r w:rsidRPr="00891F83">
        <w:rPr>
          <w:rFonts w:ascii="Arial" w:hAnsi="Arial" w:cs="Arial"/>
          <w:lang w:val="ro-RO"/>
        </w:rPr>
        <w:t xml:space="preserve"> în ceea ce priveşte</w:t>
      </w:r>
      <w:r w:rsidRPr="00891F83">
        <w:rPr>
          <w:rFonts w:ascii="Arial" w:hAnsi="Arial" w:cs="Arial"/>
          <w:b/>
          <w:lang w:val="ro-RO"/>
        </w:rPr>
        <w:t xml:space="preserve"> </w:t>
      </w:r>
      <w:r w:rsidR="00090E85" w:rsidRPr="00891F83">
        <w:rPr>
          <w:rFonts w:ascii="Arial" w:hAnsi="Arial" w:cs="Arial"/>
          <w:lang w:val="ro-RO"/>
        </w:rPr>
        <w:t xml:space="preserve">constatarea diferenţei de taxă pe care </w:t>
      </w:r>
      <w:r w:rsidR="00090E85" w:rsidRPr="00891F83">
        <w:rPr>
          <w:rFonts w:ascii="Arial" w:hAnsi="Arial" w:cs="Arial"/>
          <w:bCs/>
          <w:lang w:val="ro-RO"/>
        </w:rPr>
        <w:t xml:space="preserve">[DENUMIRE FIRMA] </w:t>
      </w:r>
      <w:r w:rsidR="00090E85" w:rsidRPr="00891F83">
        <w:rPr>
          <w:rFonts w:ascii="Arial" w:hAnsi="Arial" w:cs="Arial"/>
          <w:lang w:val="ro-RO"/>
        </w:rPr>
        <w:t xml:space="preserve">nu o mai datorează din taxa de autorizare achitată anticipat cu bonificaţie </w:t>
      </w:r>
      <w:r w:rsidR="00BD23E9">
        <w:rPr>
          <w:rFonts w:ascii="Arial" w:hAnsi="Arial" w:cs="Arial"/>
          <w:lang w:val="ro-RO"/>
        </w:rPr>
        <w:t xml:space="preserve">de </w:t>
      </w:r>
      <w:r w:rsidR="00090E85" w:rsidRPr="00891F83">
        <w:rPr>
          <w:rFonts w:ascii="Arial" w:hAnsi="Arial" w:cs="Arial"/>
          <w:lang w:val="ro-RO"/>
        </w:rPr>
        <w:t>10%</w:t>
      </w:r>
      <w:r w:rsidR="00090E85" w:rsidRPr="00891F83">
        <w:rPr>
          <w:rFonts w:ascii="Arial" w:hAnsi="Arial" w:cs="Arial"/>
          <w:bCs/>
          <w:lang w:val="ro-RO"/>
        </w:rPr>
        <w:t>:</w:t>
      </w:r>
    </w:p>
    <w:p w14:paraId="49B328FB" w14:textId="792D1894" w:rsidR="00BB2AC3" w:rsidRPr="00891F83" w:rsidRDefault="00342594" w:rsidP="004F162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50"/>
        <w:jc w:val="both"/>
        <w:rPr>
          <w:rFonts w:ascii="Arial" w:hAnsi="Arial" w:cs="Arial"/>
          <w:sz w:val="24"/>
          <w:szCs w:val="24"/>
          <w:lang w:val="ro-RO"/>
        </w:rPr>
      </w:pPr>
      <w:r w:rsidRPr="00891F83">
        <w:rPr>
          <w:rFonts w:ascii="Arial" w:hAnsi="Arial" w:cs="Arial"/>
          <w:sz w:val="24"/>
          <w:szCs w:val="24"/>
          <w:lang w:val="ro-RO"/>
        </w:rPr>
        <w:t xml:space="preserve">din contul </w:t>
      </w:r>
      <w:r w:rsidRPr="00891F83">
        <w:rPr>
          <w:rFonts w:ascii="Arial" w:hAnsi="Arial" w:cs="Arial"/>
          <w:b/>
          <w:bCs/>
          <w:sz w:val="24"/>
          <w:szCs w:val="24"/>
          <w:lang w:val="ro-RO"/>
        </w:rPr>
        <w:t>20A160108</w:t>
      </w:r>
      <w:r w:rsidR="00090E85" w:rsidRPr="00891F8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090E85" w:rsidRPr="00891F83">
        <w:rPr>
          <w:rFonts w:ascii="Arial" w:hAnsi="Arial" w:cs="Arial"/>
          <w:sz w:val="24"/>
          <w:szCs w:val="24"/>
          <w:lang w:val="ro-RO"/>
        </w:rPr>
        <w:t>„Taxa anuală pentru obţinerea autorizaţiei de exploatare a jocurilor de noroc”</w:t>
      </w:r>
      <w:r w:rsidRPr="00891F83">
        <w:rPr>
          <w:rFonts w:ascii="Arial" w:hAnsi="Arial" w:cs="Arial"/>
          <w:b/>
          <w:bCs/>
          <w:sz w:val="24"/>
          <w:szCs w:val="24"/>
          <w:lang w:val="ro-RO"/>
        </w:rPr>
        <w:t xml:space="preserve">, </w:t>
      </w:r>
      <w:r w:rsidRPr="00891F83">
        <w:rPr>
          <w:rFonts w:ascii="Arial" w:hAnsi="Arial" w:cs="Arial"/>
          <w:b/>
          <w:sz w:val="24"/>
          <w:szCs w:val="24"/>
          <w:lang w:val="ro-RO"/>
        </w:rPr>
        <w:t>în cuantum de........lei.</w:t>
      </w:r>
    </w:p>
    <w:p w14:paraId="1562E1B6" w14:textId="77777777" w:rsidR="005B5EFF" w:rsidRPr="00891F83" w:rsidRDefault="00342594" w:rsidP="00707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50"/>
        <w:jc w:val="both"/>
        <w:rPr>
          <w:rFonts w:ascii="Arial" w:hAnsi="Arial" w:cs="Arial"/>
          <w:sz w:val="24"/>
          <w:szCs w:val="24"/>
          <w:lang w:val="ro-RO"/>
        </w:rPr>
      </w:pPr>
      <w:r w:rsidRPr="00891F83">
        <w:rPr>
          <w:rFonts w:ascii="Arial" w:hAnsi="Arial" w:cs="Arial"/>
          <w:sz w:val="24"/>
          <w:szCs w:val="24"/>
          <w:lang w:val="ro-RO"/>
        </w:rPr>
        <w:t>din contul</w:t>
      </w:r>
      <w:r w:rsidRPr="00891F8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891F83">
        <w:rPr>
          <w:rFonts w:ascii="Arial" w:hAnsi="Arial" w:cs="Arial"/>
          <w:sz w:val="24"/>
          <w:szCs w:val="24"/>
          <w:lang w:val="ro-RO"/>
        </w:rPr>
        <w:t>5505</w:t>
      </w:r>
      <w:r w:rsidR="00090E85" w:rsidRPr="00891F83">
        <w:rPr>
          <w:rFonts w:ascii="Arial" w:hAnsi="Arial" w:cs="Arial"/>
          <w:sz w:val="24"/>
          <w:szCs w:val="24"/>
          <w:lang w:val="ro-RO"/>
        </w:rPr>
        <w:t xml:space="preserve"> „Taxe pentru jocurile de noroc pentru Com</w:t>
      </w:r>
      <w:r w:rsidR="00494A4A" w:rsidRPr="00891F83">
        <w:rPr>
          <w:rFonts w:ascii="Arial" w:hAnsi="Arial" w:cs="Arial"/>
          <w:sz w:val="24"/>
          <w:szCs w:val="24"/>
          <w:lang w:val="ro-RO"/>
        </w:rPr>
        <w:t>itetul Olimpic şi Sportiv Român</w:t>
      </w:r>
      <w:r w:rsidRPr="00891F83">
        <w:rPr>
          <w:rFonts w:ascii="Arial" w:hAnsi="Arial" w:cs="Arial"/>
          <w:sz w:val="24"/>
          <w:szCs w:val="24"/>
          <w:lang w:val="ro-RO"/>
        </w:rPr>
        <w:t>,</w:t>
      </w:r>
      <w:r w:rsidRPr="00891F8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891F83">
        <w:rPr>
          <w:rFonts w:ascii="Arial" w:hAnsi="Arial" w:cs="Arial"/>
          <w:b/>
          <w:sz w:val="24"/>
          <w:szCs w:val="24"/>
          <w:lang w:val="ro-RO"/>
        </w:rPr>
        <w:t>în cuantum de........lei</w:t>
      </w:r>
      <w:r w:rsidR="005B5EFF" w:rsidRPr="00891F83">
        <w:rPr>
          <w:rFonts w:ascii="Arial" w:hAnsi="Arial" w:cs="Arial"/>
          <w:b/>
          <w:sz w:val="24"/>
          <w:szCs w:val="24"/>
          <w:lang w:val="ro-RO"/>
        </w:rPr>
        <w:t>.</w:t>
      </w:r>
    </w:p>
    <w:p w14:paraId="569D44C5" w14:textId="0D79BCE4" w:rsidR="00090E85" w:rsidRPr="00891F83" w:rsidRDefault="00494A4A" w:rsidP="00707E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50"/>
        <w:jc w:val="both"/>
        <w:rPr>
          <w:rFonts w:ascii="Arial" w:hAnsi="Arial" w:cs="Arial"/>
          <w:sz w:val="24"/>
          <w:szCs w:val="24"/>
          <w:lang w:val="ro-RO"/>
        </w:rPr>
      </w:pPr>
      <w:r w:rsidRPr="00891F83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090E85" w:rsidRPr="00891F83">
        <w:rPr>
          <w:rFonts w:ascii="Arial" w:hAnsi="Arial" w:cs="Arial"/>
          <w:sz w:val="24"/>
          <w:szCs w:val="24"/>
          <w:lang w:val="ro-RO"/>
        </w:rPr>
        <w:t>din contul</w:t>
      </w:r>
      <w:r w:rsidR="00090E85" w:rsidRPr="00891F83">
        <w:rPr>
          <w:rFonts w:ascii="Arial" w:hAnsi="Arial" w:cs="Arial"/>
          <w:b/>
          <w:bCs/>
          <w:sz w:val="24"/>
          <w:szCs w:val="24"/>
          <w:lang w:val="ro-RO"/>
        </w:rPr>
        <w:t xml:space="preserve"> 5506 </w:t>
      </w:r>
      <w:r w:rsidR="00090E85" w:rsidRPr="00891F83">
        <w:rPr>
          <w:rFonts w:ascii="Arial" w:hAnsi="Arial" w:cs="Arial"/>
          <w:sz w:val="24"/>
          <w:szCs w:val="24"/>
          <w:lang w:val="ro-RO"/>
        </w:rPr>
        <w:t>„Taxe pentru jocurile de noroc pentru Comitetul Naţional Paralimpic”</w:t>
      </w:r>
      <w:r w:rsidR="00090E85" w:rsidRPr="00891F83">
        <w:rPr>
          <w:rFonts w:ascii="Arial" w:hAnsi="Arial" w:cs="Arial"/>
          <w:b/>
          <w:bCs/>
          <w:sz w:val="24"/>
          <w:szCs w:val="24"/>
          <w:lang w:val="ro-RO"/>
        </w:rPr>
        <w:t>,</w:t>
      </w:r>
      <w:r w:rsidR="00090E85" w:rsidRPr="00891F83">
        <w:rPr>
          <w:rFonts w:ascii="Arial" w:hAnsi="Arial" w:cs="Arial"/>
          <w:sz w:val="24"/>
          <w:szCs w:val="24"/>
          <w:lang w:val="ro-RO"/>
        </w:rPr>
        <w:t xml:space="preserve"> </w:t>
      </w:r>
      <w:r w:rsidR="00090E85" w:rsidRPr="00891F83">
        <w:rPr>
          <w:rFonts w:ascii="Arial" w:hAnsi="Arial" w:cs="Arial"/>
          <w:b/>
          <w:sz w:val="24"/>
          <w:szCs w:val="24"/>
          <w:lang w:val="ro-RO"/>
        </w:rPr>
        <w:t>în cuantum de........lei</w:t>
      </w:r>
      <w:r w:rsidRPr="00891F83">
        <w:rPr>
          <w:rFonts w:ascii="Arial" w:hAnsi="Arial" w:cs="Arial"/>
          <w:b/>
          <w:sz w:val="24"/>
          <w:szCs w:val="24"/>
          <w:lang w:val="ro-RO"/>
        </w:rPr>
        <w:t>.</w:t>
      </w:r>
    </w:p>
    <w:p w14:paraId="7C7AA784" w14:textId="6CE6820B" w:rsidR="00BB2AC3" w:rsidRPr="00FE0FBD" w:rsidRDefault="00090E8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ro-RO"/>
        </w:rPr>
      </w:pPr>
      <w:bookmarkStart w:id="3" w:name="_Hlk175051109"/>
      <w:r w:rsidRPr="00891F83">
        <w:rPr>
          <w:rFonts w:ascii="Arial" w:hAnsi="Arial" w:cs="Arial"/>
          <w:bCs/>
          <w:lang w:val="ro-RO"/>
        </w:rPr>
        <w:lastRenderedPageBreak/>
        <w:t>[DENUMIRE FIRM</w:t>
      </w:r>
      <w:r w:rsidR="004F1626" w:rsidRPr="00891F83">
        <w:rPr>
          <w:rFonts w:ascii="Arial" w:hAnsi="Arial" w:cs="Arial"/>
          <w:bCs/>
          <w:lang w:val="ro-RO"/>
        </w:rPr>
        <w:t>Ă</w:t>
      </w:r>
      <w:r w:rsidRPr="00891F83">
        <w:rPr>
          <w:rFonts w:ascii="Arial" w:hAnsi="Arial" w:cs="Arial"/>
          <w:bCs/>
          <w:lang w:val="ro-RO"/>
        </w:rPr>
        <w:t xml:space="preserve"> </w:t>
      </w:r>
      <w:r w:rsidR="004F1626" w:rsidRPr="00891F83">
        <w:rPr>
          <w:rFonts w:ascii="Arial" w:hAnsi="Arial" w:cs="Arial"/>
          <w:bCs/>
          <w:lang w:val="ro-RO"/>
        </w:rPr>
        <w:t>cod de identificare fiscală</w:t>
      </w:r>
      <w:r w:rsidRPr="00891F83">
        <w:rPr>
          <w:rFonts w:ascii="Arial" w:hAnsi="Arial" w:cs="Arial"/>
          <w:bCs/>
          <w:lang w:val="ro-RO"/>
        </w:rPr>
        <w:t>] a solicitat virarea</w:t>
      </w:r>
      <w:r w:rsidR="004F1626" w:rsidRPr="00891F83">
        <w:rPr>
          <w:rFonts w:ascii="Arial" w:hAnsi="Arial" w:cs="Arial"/>
          <w:bCs/>
          <w:lang w:val="ro-RO"/>
        </w:rPr>
        <w:t xml:space="preserve"> </w:t>
      </w:r>
      <w:r w:rsidRPr="00891F83">
        <w:rPr>
          <w:rFonts w:ascii="Arial" w:hAnsi="Arial" w:cs="Arial"/>
          <w:bCs/>
          <w:lang w:val="ro-RO"/>
        </w:rPr>
        <w:t xml:space="preserve">diferenţei de </w:t>
      </w:r>
      <w:r w:rsidR="007B1285" w:rsidRPr="00891F83">
        <w:rPr>
          <w:rFonts w:ascii="Arial" w:hAnsi="Arial" w:cs="Arial"/>
          <w:bCs/>
          <w:lang w:val="ro-RO"/>
        </w:rPr>
        <w:t>taxă pe care nu o mai datorează</w:t>
      </w:r>
      <w:r w:rsidRPr="00891F83">
        <w:rPr>
          <w:rFonts w:ascii="Arial" w:hAnsi="Arial" w:cs="Arial"/>
          <w:bCs/>
          <w:lang w:val="ro-RO"/>
        </w:rPr>
        <w:t xml:space="preserve">, </w:t>
      </w:r>
      <w:bookmarkEnd w:id="3"/>
      <w:r w:rsidR="007B1285" w:rsidRPr="00891F83">
        <w:rPr>
          <w:rFonts w:ascii="Arial" w:hAnsi="Arial" w:cs="Arial"/>
          <w:bCs/>
          <w:lang w:val="ro-RO"/>
        </w:rPr>
        <w:t>î</w:t>
      </w:r>
      <w:r w:rsidRPr="00891F83">
        <w:rPr>
          <w:rFonts w:ascii="Arial" w:hAnsi="Arial" w:cs="Arial"/>
          <w:bCs/>
          <w:lang w:val="ro-RO"/>
        </w:rPr>
        <w:t xml:space="preserve">n contul </w:t>
      </w:r>
      <w:r w:rsidR="00AE250E" w:rsidRPr="00891F83">
        <w:rPr>
          <w:rFonts w:ascii="Arial" w:hAnsi="Arial" w:cs="Arial"/>
          <w:bCs/>
          <w:lang w:val="ro-RO"/>
        </w:rPr>
        <w:t xml:space="preserve">bancar cu </w:t>
      </w:r>
      <w:r w:rsidRPr="00891F83">
        <w:rPr>
          <w:rFonts w:ascii="Arial" w:hAnsi="Arial" w:cs="Arial"/>
          <w:lang w:val="ro-RO"/>
        </w:rPr>
        <w:t>cod</w:t>
      </w:r>
      <w:r w:rsidR="00AE250E" w:rsidRPr="00891F83">
        <w:rPr>
          <w:rFonts w:ascii="Arial" w:hAnsi="Arial" w:cs="Arial"/>
          <w:lang w:val="ro-RO"/>
        </w:rPr>
        <w:t>ul</w:t>
      </w:r>
      <w:r w:rsidRPr="00891F83">
        <w:rPr>
          <w:rFonts w:ascii="Arial" w:hAnsi="Arial" w:cs="Arial"/>
          <w:lang w:val="ro-RO"/>
        </w:rPr>
        <w:t xml:space="preserve"> IBAN. [</w:t>
      </w:r>
      <w:r w:rsidRPr="00891F83">
        <w:rPr>
          <w:rFonts w:ascii="Arial" w:hAnsi="Arial" w:cs="Arial"/>
          <w:i/>
          <w:iCs/>
          <w:lang w:val="ro-RO"/>
        </w:rPr>
        <w:t xml:space="preserve">se va înscrie codul IBAN al contului firmei </w:t>
      </w:r>
      <w:r w:rsidR="007B1285" w:rsidRPr="00891F83">
        <w:rPr>
          <w:rFonts w:ascii="Arial" w:hAnsi="Arial" w:cs="Arial"/>
          <w:i/>
          <w:iCs/>
          <w:lang w:val="ro-RO"/>
        </w:rPr>
        <w:t>î</w:t>
      </w:r>
      <w:r w:rsidRPr="00891F83">
        <w:rPr>
          <w:rFonts w:ascii="Arial" w:hAnsi="Arial" w:cs="Arial"/>
          <w:i/>
          <w:iCs/>
          <w:lang w:val="ro-RO"/>
        </w:rPr>
        <w:t>n care se solicit</w:t>
      </w:r>
      <w:r w:rsidR="007B1285" w:rsidRPr="00891F83">
        <w:rPr>
          <w:rFonts w:ascii="Arial" w:hAnsi="Arial" w:cs="Arial"/>
          <w:i/>
          <w:iCs/>
          <w:lang w:val="ro-RO"/>
        </w:rPr>
        <w:t>ă</w:t>
      </w:r>
      <w:r w:rsidRPr="00891F83">
        <w:rPr>
          <w:rFonts w:ascii="Arial" w:hAnsi="Arial" w:cs="Arial"/>
          <w:i/>
          <w:iCs/>
          <w:lang w:val="ro-RO"/>
        </w:rPr>
        <w:t xml:space="preserve"> virarea sumei</w:t>
      </w:r>
      <w:r w:rsidRPr="00891F83">
        <w:rPr>
          <w:rFonts w:ascii="Arial" w:hAnsi="Arial" w:cs="Arial"/>
          <w:lang w:val="ro-RO"/>
        </w:rPr>
        <w:t>], deschis la [</w:t>
      </w:r>
      <w:r w:rsidRPr="00891F83">
        <w:rPr>
          <w:rFonts w:ascii="Arial" w:hAnsi="Arial" w:cs="Arial"/>
          <w:i/>
          <w:iCs/>
          <w:lang w:val="ro-RO"/>
        </w:rPr>
        <w:t>se va indica denumirea institu</w:t>
      </w:r>
      <w:r w:rsidR="007B1285" w:rsidRPr="00891F83">
        <w:rPr>
          <w:rFonts w:ascii="Arial" w:hAnsi="Arial" w:cs="Arial"/>
          <w:i/>
          <w:iCs/>
          <w:lang w:val="ro-RO"/>
        </w:rPr>
        <w:t>ț</w:t>
      </w:r>
      <w:r w:rsidRPr="00891F83">
        <w:rPr>
          <w:rFonts w:ascii="Arial" w:hAnsi="Arial" w:cs="Arial"/>
          <w:i/>
          <w:iCs/>
          <w:lang w:val="ro-RO"/>
        </w:rPr>
        <w:t>iei de credit</w:t>
      </w:r>
      <w:r w:rsidRPr="00FE0FBD">
        <w:rPr>
          <w:rFonts w:ascii="Arial" w:hAnsi="Arial" w:cs="Arial"/>
          <w:i/>
          <w:iCs/>
          <w:lang w:val="ro-RO"/>
        </w:rPr>
        <w:t xml:space="preserve"> din Rom</w:t>
      </w:r>
      <w:r w:rsidR="007B1285">
        <w:rPr>
          <w:rFonts w:ascii="Arial" w:hAnsi="Arial" w:cs="Arial"/>
          <w:i/>
          <w:iCs/>
          <w:lang w:val="ro-RO"/>
        </w:rPr>
        <w:t>â</w:t>
      </w:r>
      <w:r w:rsidRPr="00FE0FBD">
        <w:rPr>
          <w:rFonts w:ascii="Arial" w:hAnsi="Arial" w:cs="Arial"/>
          <w:i/>
          <w:iCs/>
          <w:lang w:val="ro-RO"/>
        </w:rPr>
        <w:t>nia la care este deschis contul bancar al firmei</w:t>
      </w:r>
      <w:r w:rsidR="0053151E" w:rsidRPr="00FE0FBD">
        <w:rPr>
          <w:rFonts w:ascii="Arial" w:hAnsi="Arial" w:cs="Arial"/>
          <w:lang w:val="ro-RO"/>
        </w:rPr>
        <w:t>]</w:t>
      </w:r>
      <w:r w:rsidR="00AE0468">
        <w:rPr>
          <w:rFonts w:ascii="Arial" w:hAnsi="Arial" w:cs="Arial"/>
          <w:bCs/>
          <w:lang w:val="ro-RO"/>
        </w:rPr>
        <w:t>.</w:t>
      </w:r>
    </w:p>
    <w:p w14:paraId="3837C0C7" w14:textId="007B5E97" w:rsidR="00BB2AC3" w:rsidRPr="00FE0FBD" w:rsidRDefault="0034259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lang w:val="ro-RO"/>
        </w:rPr>
      </w:pPr>
      <w:r w:rsidRPr="00FE0FBD">
        <w:rPr>
          <w:rFonts w:ascii="Arial" w:hAnsi="Arial" w:cs="Arial"/>
          <w:b/>
          <w:lang w:val="ro-RO"/>
        </w:rPr>
        <w:t xml:space="preserve">Art. 2. </w:t>
      </w:r>
      <w:r w:rsidRPr="00FE0FBD">
        <w:rPr>
          <w:rFonts w:ascii="Arial" w:hAnsi="Arial" w:cs="Arial"/>
          <w:lang w:val="ro-RO"/>
        </w:rPr>
        <w:t xml:space="preserve">Constată încetarea valabilităţii autorizaţiei/autorizaţiilor de exploatare a jocurilor de noroc ............. emisă/emise în favoarea </w:t>
      </w:r>
      <w:r w:rsidR="00A97A5E">
        <w:rPr>
          <w:rFonts w:ascii="Arial" w:hAnsi="Arial" w:cs="Arial"/>
          <w:bCs/>
          <w:lang w:val="ro-RO"/>
        </w:rPr>
        <w:t>[DENUMIRE FIRMĂ</w:t>
      </w:r>
      <w:r w:rsidRPr="00FE0FBD">
        <w:rPr>
          <w:rFonts w:ascii="Arial" w:hAnsi="Arial" w:cs="Arial"/>
          <w:bCs/>
          <w:lang w:val="ro-RO"/>
        </w:rPr>
        <w:t>]</w:t>
      </w:r>
      <w:r w:rsidRPr="00FE0FBD">
        <w:rPr>
          <w:rFonts w:ascii="Arial" w:hAnsi="Arial" w:cs="Arial"/>
          <w:b/>
          <w:bCs/>
          <w:lang w:val="ro-RO"/>
        </w:rPr>
        <w:t xml:space="preserve">, </w:t>
      </w:r>
      <w:r w:rsidRPr="00FE0FBD">
        <w:rPr>
          <w:rFonts w:ascii="Arial" w:hAnsi="Arial" w:cs="Arial"/>
          <w:lang w:val="ro-RO"/>
        </w:rPr>
        <w:t>în baza art.1 din prezenta decizie</w:t>
      </w:r>
      <w:r w:rsidR="00A97A5E">
        <w:rPr>
          <w:rFonts w:ascii="Arial" w:hAnsi="Arial" w:cs="Arial"/>
          <w:lang w:val="ro-RO"/>
        </w:rPr>
        <w:t>.</w:t>
      </w:r>
    </w:p>
    <w:p w14:paraId="4DEB5820" w14:textId="1F4D5AF8" w:rsidR="00BB2AC3" w:rsidRPr="00FE0FBD" w:rsidRDefault="00342594">
      <w:pPr>
        <w:spacing w:line="276" w:lineRule="auto"/>
        <w:ind w:right="-85" w:firstLine="720"/>
        <w:jc w:val="both"/>
        <w:rPr>
          <w:rFonts w:ascii="Arial" w:hAnsi="Arial" w:cs="Arial"/>
          <w:lang w:val="ro-RO" w:eastAsia="pl-PL"/>
        </w:rPr>
      </w:pPr>
      <w:r w:rsidRPr="00FE0FBD">
        <w:rPr>
          <w:rFonts w:ascii="Arial" w:hAnsi="Arial" w:cs="Arial"/>
          <w:b/>
          <w:lang w:val="ro-RO" w:eastAsia="pl-PL"/>
        </w:rPr>
        <w:t>Art. 3.</w:t>
      </w:r>
      <w:r w:rsidRPr="00FE0FBD">
        <w:rPr>
          <w:rFonts w:ascii="Arial" w:hAnsi="Arial" w:cs="Arial"/>
          <w:lang w:val="ro-RO" w:eastAsia="pl-PL"/>
        </w:rPr>
        <w:t xml:space="preserve"> </w:t>
      </w:r>
      <w:r w:rsidRPr="00FE0FBD">
        <w:rPr>
          <w:rFonts w:ascii="Arial" w:hAnsi="Arial" w:cs="Arial"/>
          <w:bCs/>
          <w:spacing w:val="-2"/>
          <w:lang w:val="ro-RO"/>
        </w:rPr>
        <w:t xml:space="preserve">Împotriva acestei decizii </w:t>
      </w:r>
      <w:r w:rsidR="00A97A5E">
        <w:rPr>
          <w:rFonts w:ascii="Arial" w:hAnsi="Arial" w:cs="Arial"/>
          <w:bCs/>
          <w:lang w:val="ro-RO"/>
        </w:rPr>
        <w:t>[DENUMIRE FIRMĂ</w:t>
      </w:r>
      <w:r w:rsidRPr="00FE0FBD">
        <w:rPr>
          <w:rFonts w:ascii="Arial" w:hAnsi="Arial" w:cs="Arial"/>
          <w:bCs/>
          <w:lang w:val="ro-RO"/>
        </w:rPr>
        <w:t xml:space="preserve">] </w:t>
      </w:r>
      <w:r w:rsidRPr="00FE0FBD">
        <w:rPr>
          <w:rFonts w:ascii="Arial" w:hAnsi="Arial" w:cs="Arial"/>
          <w:bCs/>
          <w:spacing w:val="-2"/>
          <w:lang w:val="ro-RO"/>
        </w:rPr>
        <w:t>poate exercita căile de atac prevăzute la art. 7 din Legea contenciosului administrativ nr. 554/2004, în termen de 30 de zile de la data comunicării</w:t>
      </w:r>
      <w:r w:rsidR="00A97A5E">
        <w:rPr>
          <w:rFonts w:ascii="Arial" w:hAnsi="Arial" w:cs="Arial"/>
          <w:bCs/>
          <w:spacing w:val="-2"/>
          <w:lang w:val="ro-RO"/>
        </w:rPr>
        <w:t>.</w:t>
      </w:r>
    </w:p>
    <w:p w14:paraId="58A0A88D" w14:textId="29D66497" w:rsidR="00BB2AC3" w:rsidRPr="00FE0FBD" w:rsidRDefault="00342594">
      <w:pPr>
        <w:widowControl w:val="0"/>
        <w:tabs>
          <w:tab w:val="left" w:pos="1843"/>
        </w:tabs>
        <w:autoSpaceDE w:val="0"/>
        <w:autoSpaceDN w:val="0"/>
        <w:adjustRightInd w:val="0"/>
        <w:spacing w:before="100" w:after="100" w:line="276" w:lineRule="auto"/>
        <w:ind w:firstLine="709"/>
        <w:jc w:val="both"/>
        <w:rPr>
          <w:rFonts w:ascii="Arial" w:hAnsi="Arial" w:cs="Arial"/>
          <w:b/>
          <w:lang w:val="ro-RO"/>
        </w:rPr>
      </w:pPr>
      <w:r w:rsidRPr="00FE0FBD">
        <w:rPr>
          <w:rFonts w:ascii="Arial" w:hAnsi="Arial" w:cs="Arial"/>
          <w:b/>
          <w:lang w:val="ro-RO" w:eastAsia="pl-PL"/>
        </w:rPr>
        <w:t>Art. 4.</w:t>
      </w:r>
      <w:r w:rsidRPr="00FE0FBD">
        <w:rPr>
          <w:rFonts w:ascii="Arial" w:hAnsi="Arial" w:cs="Arial"/>
          <w:lang w:val="ro-RO" w:eastAsia="pl-PL"/>
        </w:rPr>
        <w:t xml:space="preserve"> </w:t>
      </w:r>
      <w:r w:rsidRPr="00FE0FBD">
        <w:rPr>
          <w:rFonts w:ascii="Arial" w:hAnsi="Arial" w:cs="Arial"/>
          <w:bCs/>
          <w:lang w:val="ro-RO"/>
        </w:rPr>
        <w:t>Direcţia Generală de Autorizare Jocuri de Noroc va comunica prezenta decizie [DENUMIRE FIRM</w:t>
      </w:r>
      <w:r w:rsidR="00A97A5E">
        <w:rPr>
          <w:rFonts w:ascii="Arial" w:hAnsi="Arial" w:cs="Arial"/>
          <w:bCs/>
          <w:lang w:val="ro-RO"/>
        </w:rPr>
        <w:t>Ă</w:t>
      </w:r>
      <w:r w:rsidRPr="00FE0FBD">
        <w:rPr>
          <w:rFonts w:ascii="Arial" w:hAnsi="Arial" w:cs="Arial"/>
          <w:bCs/>
          <w:lang w:val="ro-RO"/>
        </w:rPr>
        <w:t>], cod de identificare fiscal</w:t>
      </w:r>
      <w:r w:rsidR="00A97A5E">
        <w:rPr>
          <w:rFonts w:ascii="Arial" w:hAnsi="Arial" w:cs="Arial"/>
          <w:bCs/>
          <w:lang w:val="ro-RO"/>
        </w:rPr>
        <w:t>ă</w:t>
      </w:r>
      <w:r w:rsidRPr="00FE0FBD">
        <w:rPr>
          <w:rFonts w:ascii="Arial" w:hAnsi="Arial" w:cs="Arial"/>
          <w:bCs/>
          <w:lang w:val="ro-RO"/>
        </w:rPr>
        <w:t xml:space="preserve"> [Se </w:t>
      </w:r>
      <w:r w:rsidR="00A97A5E">
        <w:rPr>
          <w:rFonts w:ascii="Arial" w:hAnsi="Arial" w:cs="Arial"/>
          <w:bCs/>
          <w:lang w:val="ro-RO"/>
        </w:rPr>
        <w:t>î</w:t>
      </w:r>
      <w:r w:rsidRPr="00FE0FBD">
        <w:rPr>
          <w:rFonts w:ascii="Arial" w:hAnsi="Arial" w:cs="Arial"/>
          <w:bCs/>
          <w:lang w:val="ro-RO"/>
        </w:rPr>
        <w:t>nscrie codul de identificare fiscal</w:t>
      </w:r>
      <w:r w:rsidR="00A97A5E">
        <w:rPr>
          <w:rFonts w:ascii="Arial" w:hAnsi="Arial" w:cs="Arial"/>
          <w:bCs/>
          <w:lang w:val="ro-RO"/>
        </w:rPr>
        <w:t>ă</w:t>
      </w:r>
      <w:r w:rsidRPr="00FE0FBD">
        <w:rPr>
          <w:rFonts w:ascii="Arial" w:hAnsi="Arial" w:cs="Arial"/>
          <w:bCs/>
          <w:lang w:val="ro-RO"/>
        </w:rPr>
        <w:t xml:space="preserve"> al firmei] [DESTINATAR ANAF], </w:t>
      </w:r>
      <w:r w:rsidRPr="00FE0FBD">
        <w:rPr>
          <w:rFonts w:ascii="Arial" w:hAnsi="Arial" w:cs="Arial"/>
          <w:lang w:val="ro-RO"/>
        </w:rPr>
        <w:t>Comitetului Olimpic și Sportiv Român şi Comitetului Național Paralimpic</w:t>
      </w:r>
      <w:r w:rsidRPr="00FE0FBD">
        <w:rPr>
          <w:rFonts w:ascii="Arial" w:hAnsi="Arial" w:cs="Arial"/>
          <w:bCs/>
          <w:lang w:val="ro-RO"/>
        </w:rPr>
        <w:t>.</w:t>
      </w:r>
      <w:r w:rsidRPr="00FE0FBD">
        <w:rPr>
          <w:rFonts w:ascii="Arial" w:hAnsi="Arial" w:cs="Arial"/>
          <w:b/>
          <w:lang w:val="ro-RO"/>
        </w:rPr>
        <w:t xml:space="preserve">    </w:t>
      </w:r>
    </w:p>
    <w:p w14:paraId="20DDC7A7" w14:textId="77777777" w:rsidR="00A97A5E" w:rsidRDefault="00A97A5E">
      <w:pPr>
        <w:jc w:val="center"/>
        <w:rPr>
          <w:rFonts w:ascii="Arial" w:eastAsia="Arial" w:hAnsi="Arial" w:cs="Arial"/>
          <w:b/>
        </w:rPr>
      </w:pPr>
      <w:bookmarkStart w:id="4" w:name="_Hlk69111225"/>
    </w:p>
    <w:p w14:paraId="266F1CC4" w14:textId="77777777" w:rsidR="00BB2AC3" w:rsidRPr="00FE0FBD" w:rsidRDefault="00342594">
      <w:pPr>
        <w:jc w:val="center"/>
        <w:rPr>
          <w:rFonts w:ascii="Arial" w:hAnsi="Arial" w:cs="Arial"/>
          <w:b/>
          <w:lang w:val="ro-RO"/>
        </w:rPr>
      </w:pPr>
      <w:r w:rsidRPr="00FE0FBD">
        <w:rPr>
          <w:rFonts w:ascii="Arial" w:eastAsia="Arial" w:hAnsi="Arial" w:cs="Arial"/>
          <w:b/>
        </w:rPr>
        <w:t>PREŞEDINTE,</w:t>
      </w:r>
      <w:bookmarkEnd w:id="4"/>
      <w:r w:rsidRPr="00FE0FBD">
        <w:rPr>
          <w:rFonts w:ascii="Arial" w:eastAsia="Arial" w:hAnsi="Arial" w:cs="Arial"/>
          <w:b/>
        </w:rPr>
        <w:t xml:space="preserve">                                                  </w:t>
      </w:r>
    </w:p>
    <w:p w14:paraId="0FAF4221" w14:textId="77777777" w:rsidR="00BB2AC3" w:rsidRPr="00FE0FBD" w:rsidRDefault="00BB2AC3">
      <w:pPr>
        <w:rPr>
          <w:rFonts w:ascii="Arial" w:hAnsi="Arial" w:cs="Arial"/>
          <w:b/>
        </w:rPr>
      </w:pPr>
    </w:p>
    <w:p w14:paraId="5188A4EF" w14:textId="77777777" w:rsidR="00BB2AC3" w:rsidRPr="00FE0FBD" w:rsidRDefault="00BB2AC3">
      <w:pPr>
        <w:rPr>
          <w:rFonts w:ascii="Arial" w:hAnsi="Arial" w:cs="Arial"/>
          <w:b/>
        </w:rPr>
      </w:pPr>
    </w:p>
    <w:p w14:paraId="022C4077" w14:textId="77777777" w:rsidR="00BB2AC3" w:rsidRPr="00FE0FBD" w:rsidRDefault="00BB2AC3">
      <w:pPr>
        <w:spacing w:line="276" w:lineRule="auto"/>
        <w:jc w:val="center"/>
        <w:rPr>
          <w:rFonts w:ascii="Arial" w:hAnsi="Arial" w:cs="Arial"/>
          <w:lang w:val="ro-RO"/>
        </w:rPr>
      </w:pPr>
    </w:p>
    <w:sectPr w:rsidR="00BB2AC3" w:rsidRPr="00FE0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567" w:bottom="851" w:left="1418" w:header="811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B01F5" w14:textId="77777777" w:rsidR="005261E5" w:rsidRDefault="005261E5">
      <w:r>
        <w:separator/>
      </w:r>
    </w:p>
  </w:endnote>
  <w:endnote w:type="continuationSeparator" w:id="0">
    <w:p w14:paraId="086C1241" w14:textId="77777777" w:rsidR="005261E5" w:rsidRDefault="0052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9BE0F" w14:textId="77777777" w:rsidR="00DC2278" w:rsidRDefault="00DC22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108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B484F" w14:textId="2D7C85D4" w:rsidR="00DC2278" w:rsidRDefault="00DC22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  <w:bookmarkStart w:id="5" w:name="_GoBack" w:displacedByCustomXml="next"/>
      <w:bookmarkEnd w:id="5" w:displacedByCustomXml="next"/>
    </w:sdtContent>
  </w:sdt>
  <w:p w14:paraId="7B2D2BC6" w14:textId="77777777" w:rsidR="00BB2AC3" w:rsidRDefault="00BB2AC3">
    <w:pPr>
      <w:rPr>
        <w:rFonts w:ascii="Bookman Old Style" w:hAnsi="Bookman Old Style" w:cs="Arial"/>
        <w:spacing w:val="1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00A21" w14:textId="77777777" w:rsidR="00DC2278" w:rsidRDefault="00DC2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D8A09" w14:textId="77777777" w:rsidR="005261E5" w:rsidRDefault="005261E5">
      <w:r>
        <w:separator/>
      </w:r>
    </w:p>
  </w:footnote>
  <w:footnote w:type="continuationSeparator" w:id="0">
    <w:p w14:paraId="2F6A2844" w14:textId="77777777" w:rsidR="005261E5" w:rsidRDefault="0052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D503" w14:textId="77777777" w:rsidR="00DC2278" w:rsidRDefault="00DC2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22779" w14:textId="77777777" w:rsidR="00BB2AC3" w:rsidRDefault="00342594">
    <w:pPr>
      <w:ind w:left="6804"/>
      <w:rPr>
        <w:sz w:val="20"/>
        <w:szCs w:val="20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A74E4" wp14:editId="18A338DB">
              <wp:simplePos x="0" y="0"/>
              <wp:positionH relativeFrom="column">
                <wp:posOffset>928370</wp:posOffset>
              </wp:positionH>
              <wp:positionV relativeFrom="paragraph">
                <wp:posOffset>-213995</wp:posOffset>
              </wp:positionV>
              <wp:extent cx="4620260" cy="1043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0260" cy="1044054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8BDB4A2" w14:textId="77777777" w:rsidR="00BB2AC3" w:rsidRDefault="00342594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Guvernul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României</w:t>
                          </w:r>
                          <w:proofErr w:type="spellEnd"/>
                        </w:p>
                        <w:p w14:paraId="70C75735" w14:textId="77777777" w:rsidR="00BB2AC3" w:rsidRDefault="00342594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Ministerul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Finan</w:t>
                          </w:r>
                          <w:r>
                            <w:rPr>
                              <w:rFonts w:ascii="Cambria" w:hAnsi="Cambria"/>
                              <w:b/>
                              <w:sz w:val="32"/>
                              <w:szCs w:val="32"/>
                            </w:rPr>
                            <w:t>ț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elor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2A697A7A" w14:textId="77777777" w:rsidR="00BB2AC3" w:rsidRDefault="00342594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Oficiul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Naţional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Jocuri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Noroc</w:t>
                          </w:r>
                          <w:proofErr w:type="spellEnd"/>
                        </w:p>
                        <w:p w14:paraId="2B8C554A" w14:textId="77777777" w:rsidR="00BB2AC3" w:rsidRDefault="00342594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Comitetul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Supraveghere</w:t>
                          </w:r>
                          <w:proofErr w:type="spellEnd"/>
                        </w:p>
                        <w:p w14:paraId="41B0CFD9" w14:textId="77777777" w:rsidR="00BB2AC3" w:rsidRDefault="00BB2AC3">
                          <w:pP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7229B1D" w14:textId="77777777" w:rsidR="00BB2AC3" w:rsidRDefault="00BB2AC3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74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.1pt;margin-top:-16.85pt;width:363.8pt;height:8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YgDwIAAA0EAAAOAAAAZHJzL2Uyb0RvYy54bWysU9uO0zAQfUfiHyy/06RVt0DVdLV0VYS0&#10;sEi7fIDjOImF4zFjt0n5esZ2t1TwhsiDlbn4zJkz483tNBh2VOg12IrPZyVnykpotO0q/u15/+Yd&#10;Zz4I2wgDVlX8pDy/3b5+tRndWi2gB9MoZARi/Xp0Fe9DcOui8LJXg/AzcMpSsAUcRCATu6JBMRL6&#10;YIpFWa6KEbBxCFJ5T977HOTbhN+2SobHtvUqMFNx4hbSiems41lsN2LdoXC9lmca4h9YDEJbKnqB&#10;uhdBsAPqv6AGLRE8tGEmYSigbbVUqQfqZl7+0c1TL5xKvZA43l1k8v8PVn45fkWmG5odZ1YMNKJn&#10;NQX2ASY2j+qMzq8p6clRWpjIHTNjp949gPzumYVdL2yn7hBh7JVoiF26WVxdzTg+gtTjZ2iojDgE&#10;SEBTi0MEJDEYodOUTpfJRCqSnMvVolysKCQpNi+Xy/JmGdkVYv1y3aEPHxUMLP5UHGn0CV4cH3zI&#10;qS8piT4Y3ey1McnArt4ZZEdBa7JPX75rXC+yN60KlfM5NZX21xjGRiQLETOXi54kQuw7KxCmejqL&#10;WkNzIjkQ8k7SG6KfHvAnZyPtY8X9j4NAxZn5ZEnS93NqmhY4Gcubtwsy8DpSX0eElQRV8cBZ/t2F&#10;vPQHh7rrqVIeooU7GkOrk0BxXpnVmTftXOrz/D7iUl/bKev3K97+AgAA//8DAFBLAwQUAAYACAAA&#10;ACEAT/oeO98AAAALAQAADwAAAGRycy9kb3ducmV2LnhtbEyPQUvDQBSE70L/w/IKvUi7MZEmxGyK&#10;FHsQVDDqfZN9JqnZtyG7beO/93nS4zDDzDfFbraDOOPke0cKbjYRCKTGmZ5aBe9vh3UGwgdNRg+O&#10;UME3etiVi6tC58Zd6BXPVWgFl5DPtYIuhDGX0jcdWu03bkRi79NNVgeWUyvNpC9cbgcZR9FWWt0T&#10;L3R6xH2HzVd1srz7MGfjR/20Pz5W1/UxfqH+OSOlVsv5/g5EwDn8heEXn9GhZKbanch4MbC+3cYc&#10;VbBOkhQEJ7I04TM1W0mUgiwL+f9D+QMAAP//AwBQSwECLQAUAAYACAAAACEAtoM4kv4AAADhAQAA&#10;EwAAAAAAAAAAAAAAAAAAAAAAW0NvbnRlbnRfVHlwZXNdLnhtbFBLAQItABQABgAIAAAAIQA4/SH/&#10;1gAAAJQBAAALAAAAAAAAAAAAAAAAAC8BAABfcmVscy8ucmVsc1BLAQItABQABgAIAAAAIQCWHsYg&#10;DwIAAA0EAAAOAAAAAAAAAAAAAAAAAC4CAABkcnMvZTJvRG9jLnhtbFBLAQItABQABgAIAAAAIQBP&#10;+h473wAAAAsBAAAPAAAAAAAAAAAAAAAAAGkEAABkcnMvZG93bnJldi54bWxQSwUGAAAAAAQABADz&#10;AAAAdQUAAAAA&#10;" stroked="f">
              <v:fill opacity="0"/>
              <v:textbox>
                <w:txbxContent>
                  <w:p w14:paraId="08BDB4A2" w14:textId="77777777" w:rsidR="00BB2AC3" w:rsidRDefault="00342594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Guvernul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României</w:t>
                    </w:r>
                    <w:proofErr w:type="spellEnd"/>
                  </w:p>
                  <w:p w14:paraId="70C75735" w14:textId="77777777" w:rsidR="00BB2AC3" w:rsidRDefault="00342594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Ministerul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Finan</w:t>
                    </w:r>
                    <w:r>
                      <w:rPr>
                        <w:rFonts w:ascii="Cambria" w:hAnsi="Cambria"/>
                        <w:b/>
                        <w:sz w:val="32"/>
                        <w:szCs w:val="32"/>
                      </w:rPr>
                      <w:t>ț</w:t>
                    </w: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elor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14:paraId="2A697A7A" w14:textId="77777777" w:rsidR="00BB2AC3" w:rsidRDefault="00342594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Oficiul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Naţional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pentru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Jocuri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de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Noroc</w:t>
                    </w:r>
                    <w:proofErr w:type="spellEnd"/>
                  </w:p>
                  <w:p w14:paraId="2B8C554A" w14:textId="77777777" w:rsidR="00BB2AC3" w:rsidRDefault="00342594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Comitetul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de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Supraveghere</w:t>
                    </w:r>
                    <w:proofErr w:type="spellEnd"/>
                  </w:p>
                  <w:p w14:paraId="41B0CFD9" w14:textId="77777777" w:rsidR="00BB2AC3" w:rsidRDefault="00BB2AC3">
                    <w:pP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</w:pPr>
                  </w:p>
                  <w:p w14:paraId="37229B1D" w14:textId="77777777" w:rsidR="00BB2AC3" w:rsidRDefault="00BB2AC3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8C8DDEF" wp14:editId="5CF6F263">
          <wp:simplePos x="0" y="0"/>
          <wp:positionH relativeFrom="column">
            <wp:posOffset>5080</wp:posOffset>
          </wp:positionH>
          <wp:positionV relativeFrom="paragraph">
            <wp:posOffset>-202565</wp:posOffset>
          </wp:positionV>
          <wp:extent cx="921385" cy="921385"/>
          <wp:effectExtent l="0" t="0" r="0" b="0"/>
          <wp:wrapSquare wrapText="bothSides"/>
          <wp:docPr id="4" name="Picture 4" descr="Sigla fin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igla fin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ro-RO"/>
      </w:rPr>
      <w:t xml:space="preserve">                                           Anexa nr. 3             </w:t>
    </w:r>
  </w:p>
  <w:p w14:paraId="2A1116C3" w14:textId="77777777" w:rsidR="00BB2AC3" w:rsidRDefault="00BB2AC3">
    <w:pPr>
      <w:ind w:left="6804"/>
      <w:jc w:val="right"/>
      <w:rPr>
        <w:sz w:val="20"/>
        <w:szCs w:val="20"/>
        <w:lang w:val="ro-RO"/>
      </w:rPr>
    </w:pPr>
  </w:p>
  <w:p w14:paraId="6CA30D74" w14:textId="77777777" w:rsidR="00BB2AC3" w:rsidRDefault="00BB2AC3">
    <w:pPr>
      <w:ind w:left="6804"/>
      <w:rPr>
        <w:sz w:val="20"/>
        <w:szCs w:val="20"/>
        <w:lang w:val="ro-R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C2B9C" w14:textId="77777777" w:rsidR="00DC2278" w:rsidRDefault="00DC2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154D2"/>
    <w:multiLevelType w:val="multilevel"/>
    <w:tmpl w:val="370154D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25492"/>
    <w:multiLevelType w:val="multilevel"/>
    <w:tmpl w:val="475254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D1F6B34"/>
    <w:multiLevelType w:val="multilevel"/>
    <w:tmpl w:val="7D1F6B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95"/>
    <w:rsid w:val="00002FDC"/>
    <w:rsid w:val="0000315B"/>
    <w:rsid w:val="00006CEC"/>
    <w:rsid w:val="00010A88"/>
    <w:rsid w:val="00015220"/>
    <w:rsid w:val="00020DFB"/>
    <w:rsid w:val="00021C55"/>
    <w:rsid w:val="000231AA"/>
    <w:rsid w:val="000243EB"/>
    <w:rsid w:val="00027E81"/>
    <w:rsid w:val="000300AE"/>
    <w:rsid w:val="00031B14"/>
    <w:rsid w:val="00033022"/>
    <w:rsid w:val="0003745C"/>
    <w:rsid w:val="00040202"/>
    <w:rsid w:val="00045C28"/>
    <w:rsid w:val="0005633D"/>
    <w:rsid w:val="0006446E"/>
    <w:rsid w:val="00067554"/>
    <w:rsid w:val="00072337"/>
    <w:rsid w:val="00072610"/>
    <w:rsid w:val="000837AD"/>
    <w:rsid w:val="00083BFB"/>
    <w:rsid w:val="00090E85"/>
    <w:rsid w:val="000A0D95"/>
    <w:rsid w:val="000A2D11"/>
    <w:rsid w:val="000A3C59"/>
    <w:rsid w:val="000A6D4F"/>
    <w:rsid w:val="000B04DB"/>
    <w:rsid w:val="000B070F"/>
    <w:rsid w:val="000B1B31"/>
    <w:rsid w:val="000B6BA1"/>
    <w:rsid w:val="000C0D95"/>
    <w:rsid w:val="000C3BDD"/>
    <w:rsid w:val="000C457A"/>
    <w:rsid w:val="000C4941"/>
    <w:rsid w:val="000C5425"/>
    <w:rsid w:val="000C72BB"/>
    <w:rsid w:val="000D14D5"/>
    <w:rsid w:val="000D18F4"/>
    <w:rsid w:val="000D38F0"/>
    <w:rsid w:val="000D4499"/>
    <w:rsid w:val="000D4ADC"/>
    <w:rsid w:val="000D79CC"/>
    <w:rsid w:val="000E04EF"/>
    <w:rsid w:val="000E4E00"/>
    <w:rsid w:val="000F3785"/>
    <w:rsid w:val="000F43E7"/>
    <w:rsid w:val="00102316"/>
    <w:rsid w:val="001031EA"/>
    <w:rsid w:val="00103BB4"/>
    <w:rsid w:val="00111E89"/>
    <w:rsid w:val="001143EE"/>
    <w:rsid w:val="00115D4B"/>
    <w:rsid w:val="0012365D"/>
    <w:rsid w:val="00135E60"/>
    <w:rsid w:val="001465C8"/>
    <w:rsid w:val="0015039F"/>
    <w:rsid w:val="001513F5"/>
    <w:rsid w:val="001549D0"/>
    <w:rsid w:val="001579C1"/>
    <w:rsid w:val="00157A10"/>
    <w:rsid w:val="0016294E"/>
    <w:rsid w:val="00162B7D"/>
    <w:rsid w:val="00167DF4"/>
    <w:rsid w:val="0017049F"/>
    <w:rsid w:val="00172658"/>
    <w:rsid w:val="00173EBF"/>
    <w:rsid w:val="0017416D"/>
    <w:rsid w:val="0019064F"/>
    <w:rsid w:val="00190960"/>
    <w:rsid w:val="00194285"/>
    <w:rsid w:val="001945AF"/>
    <w:rsid w:val="00196E69"/>
    <w:rsid w:val="001A45E3"/>
    <w:rsid w:val="001A4DFB"/>
    <w:rsid w:val="001A5419"/>
    <w:rsid w:val="001A5D2C"/>
    <w:rsid w:val="001B35D6"/>
    <w:rsid w:val="001B57B3"/>
    <w:rsid w:val="001C445F"/>
    <w:rsid w:val="001D040A"/>
    <w:rsid w:val="001D7505"/>
    <w:rsid w:val="001E0045"/>
    <w:rsid w:val="001E0CE1"/>
    <w:rsid w:val="001F0084"/>
    <w:rsid w:val="001F710C"/>
    <w:rsid w:val="001F7748"/>
    <w:rsid w:val="00204659"/>
    <w:rsid w:val="00212158"/>
    <w:rsid w:val="002128F2"/>
    <w:rsid w:val="00212D93"/>
    <w:rsid w:val="0021796D"/>
    <w:rsid w:val="00226284"/>
    <w:rsid w:val="00227029"/>
    <w:rsid w:val="00230185"/>
    <w:rsid w:val="00233B93"/>
    <w:rsid w:val="002345B2"/>
    <w:rsid w:val="002345D0"/>
    <w:rsid w:val="00236D90"/>
    <w:rsid w:val="002414D8"/>
    <w:rsid w:val="00244457"/>
    <w:rsid w:val="0024584C"/>
    <w:rsid w:val="00245A25"/>
    <w:rsid w:val="00245D48"/>
    <w:rsid w:val="00245EEA"/>
    <w:rsid w:val="00252B3E"/>
    <w:rsid w:val="00262591"/>
    <w:rsid w:val="0027240A"/>
    <w:rsid w:val="00283859"/>
    <w:rsid w:val="00283BDA"/>
    <w:rsid w:val="00286CFF"/>
    <w:rsid w:val="00287136"/>
    <w:rsid w:val="00291C52"/>
    <w:rsid w:val="0029677E"/>
    <w:rsid w:val="002C0998"/>
    <w:rsid w:val="002C1C3C"/>
    <w:rsid w:val="002C2A8C"/>
    <w:rsid w:val="002C3C7E"/>
    <w:rsid w:val="002C5722"/>
    <w:rsid w:val="002D478B"/>
    <w:rsid w:val="002D69D8"/>
    <w:rsid w:val="002E1E56"/>
    <w:rsid w:val="002E262A"/>
    <w:rsid w:val="002E2999"/>
    <w:rsid w:val="002E7B72"/>
    <w:rsid w:val="002F0C41"/>
    <w:rsid w:val="002F2045"/>
    <w:rsid w:val="002F600D"/>
    <w:rsid w:val="002F78DF"/>
    <w:rsid w:val="0030075E"/>
    <w:rsid w:val="0030307E"/>
    <w:rsid w:val="00303B75"/>
    <w:rsid w:val="003061A7"/>
    <w:rsid w:val="00311A58"/>
    <w:rsid w:val="00316631"/>
    <w:rsid w:val="00317085"/>
    <w:rsid w:val="003175D5"/>
    <w:rsid w:val="003239CD"/>
    <w:rsid w:val="00325783"/>
    <w:rsid w:val="00327376"/>
    <w:rsid w:val="00332F2B"/>
    <w:rsid w:val="00335D77"/>
    <w:rsid w:val="00337078"/>
    <w:rsid w:val="00340A0A"/>
    <w:rsid w:val="00342594"/>
    <w:rsid w:val="00344E52"/>
    <w:rsid w:val="00346779"/>
    <w:rsid w:val="00352C23"/>
    <w:rsid w:val="00354E8B"/>
    <w:rsid w:val="0035502D"/>
    <w:rsid w:val="00362945"/>
    <w:rsid w:val="00362FB7"/>
    <w:rsid w:val="003662C3"/>
    <w:rsid w:val="00373470"/>
    <w:rsid w:val="00374A72"/>
    <w:rsid w:val="00375451"/>
    <w:rsid w:val="0038561F"/>
    <w:rsid w:val="00387CA7"/>
    <w:rsid w:val="00392DEA"/>
    <w:rsid w:val="00393E5C"/>
    <w:rsid w:val="00396516"/>
    <w:rsid w:val="003A030C"/>
    <w:rsid w:val="003A1BAF"/>
    <w:rsid w:val="003B0DA8"/>
    <w:rsid w:val="003B5BB7"/>
    <w:rsid w:val="003C3EBD"/>
    <w:rsid w:val="003D1F99"/>
    <w:rsid w:val="003D4349"/>
    <w:rsid w:val="003E1F15"/>
    <w:rsid w:val="003E4B5A"/>
    <w:rsid w:val="003F1549"/>
    <w:rsid w:val="003F6F7F"/>
    <w:rsid w:val="003F73A6"/>
    <w:rsid w:val="0040216F"/>
    <w:rsid w:val="004057A2"/>
    <w:rsid w:val="00406012"/>
    <w:rsid w:val="00406E46"/>
    <w:rsid w:val="00410000"/>
    <w:rsid w:val="0041152F"/>
    <w:rsid w:val="004116FB"/>
    <w:rsid w:val="00411E00"/>
    <w:rsid w:val="004148C5"/>
    <w:rsid w:val="00414A73"/>
    <w:rsid w:val="00423531"/>
    <w:rsid w:val="00424326"/>
    <w:rsid w:val="00435448"/>
    <w:rsid w:val="00443FEC"/>
    <w:rsid w:val="00445145"/>
    <w:rsid w:val="00452226"/>
    <w:rsid w:val="00452877"/>
    <w:rsid w:val="004547BA"/>
    <w:rsid w:val="004577BA"/>
    <w:rsid w:val="00462B23"/>
    <w:rsid w:val="0046676D"/>
    <w:rsid w:val="00466851"/>
    <w:rsid w:val="00470343"/>
    <w:rsid w:val="00472378"/>
    <w:rsid w:val="00476ACF"/>
    <w:rsid w:val="004805A8"/>
    <w:rsid w:val="00484BFF"/>
    <w:rsid w:val="004864B5"/>
    <w:rsid w:val="004877B1"/>
    <w:rsid w:val="004918F4"/>
    <w:rsid w:val="00492435"/>
    <w:rsid w:val="00494A4A"/>
    <w:rsid w:val="004A0FA7"/>
    <w:rsid w:val="004A2E71"/>
    <w:rsid w:val="004A321F"/>
    <w:rsid w:val="004C3782"/>
    <w:rsid w:val="004C4D9A"/>
    <w:rsid w:val="004C5242"/>
    <w:rsid w:val="004C685A"/>
    <w:rsid w:val="004C724E"/>
    <w:rsid w:val="004D2E3E"/>
    <w:rsid w:val="004D351D"/>
    <w:rsid w:val="004E7A1C"/>
    <w:rsid w:val="004F15E9"/>
    <w:rsid w:val="004F1626"/>
    <w:rsid w:val="004F35B0"/>
    <w:rsid w:val="004F7CE2"/>
    <w:rsid w:val="00500FFF"/>
    <w:rsid w:val="00502B02"/>
    <w:rsid w:val="005033D0"/>
    <w:rsid w:val="00503812"/>
    <w:rsid w:val="0051031E"/>
    <w:rsid w:val="0051395B"/>
    <w:rsid w:val="00521903"/>
    <w:rsid w:val="00521AC4"/>
    <w:rsid w:val="005261E5"/>
    <w:rsid w:val="005265FE"/>
    <w:rsid w:val="00527C67"/>
    <w:rsid w:val="005303A4"/>
    <w:rsid w:val="0053151E"/>
    <w:rsid w:val="00533EFC"/>
    <w:rsid w:val="0053416E"/>
    <w:rsid w:val="00534A59"/>
    <w:rsid w:val="00540CD1"/>
    <w:rsid w:val="00540D7C"/>
    <w:rsid w:val="00542B8F"/>
    <w:rsid w:val="0054334E"/>
    <w:rsid w:val="00544E1F"/>
    <w:rsid w:val="00544E76"/>
    <w:rsid w:val="005456E3"/>
    <w:rsid w:val="00545A66"/>
    <w:rsid w:val="0054624A"/>
    <w:rsid w:val="005469A9"/>
    <w:rsid w:val="0054721A"/>
    <w:rsid w:val="00550872"/>
    <w:rsid w:val="00557755"/>
    <w:rsid w:val="005728E5"/>
    <w:rsid w:val="00575E10"/>
    <w:rsid w:val="00586E21"/>
    <w:rsid w:val="00591F08"/>
    <w:rsid w:val="00593A68"/>
    <w:rsid w:val="00594601"/>
    <w:rsid w:val="00596A67"/>
    <w:rsid w:val="005A1DC0"/>
    <w:rsid w:val="005A6A03"/>
    <w:rsid w:val="005A7B7A"/>
    <w:rsid w:val="005B1441"/>
    <w:rsid w:val="005B2989"/>
    <w:rsid w:val="005B5EFF"/>
    <w:rsid w:val="005B714D"/>
    <w:rsid w:val="005C1120"/>
    <w:rsid w:val="005C31A2"/>
    <w:rsid w:val="005C4EFC"/>
    <w:rsid w:val="005C79BD"/>
    <w:rsid w:val="005D40CB"/>
    <w:rsid w:val="005D7B1F"/>
    <w:rsid w:val="005E203B"/>
    <w:rsid w:val="005E4FE0"/>
    <w:rsid w:val="005E5A7D"/>
    <w:rsid w:val="005E5F2C"/>
    <w:rsid w:val="005F1327"/>
    <w:rsid w:val="005F74F6"/>
    <w:rsid w:val="00600192"/>
    <w:rsid w:val="00600462"/>
    <w:rsid w:val="006031CD"/>
    <w:rsid w:val="00606D10"/>
    <w:rsid w:val="00607F89"/>
    <w:rsid w:val="006113CC"/>
    <w:rsid w:val="006161FA"/>
    <w:rsid w:val="006176F0"/>
    <w:rsid w:val="00620185"/>
    <w:rsid w:val="00622FAE"/>
    <w:rsid w:val="00630469"/>
    <w:rsid w:val="00634570"/>
    <w:rsid w:val="00641834"/>
    <w:rsid w:val="00641AE2"/>
    <w:rsid w:val="00646195"/>
    <w:rsid w:val="00652108"/>
    <w:rsid w:val="0066210C"/>
    <w:rsid w:val="00662DBE"/>
    <w:rsid w:val="00665ADF"/>
    <w:rsid w:val="00671084"/>
    <w:rsid w:val="00671729"/>
    <w:rsid w:val="00674685"/>
    <w:rsid w:val="00675E72"/>
    <w:rsid w:val="00677F66"/>
    <w:rsid w:val="0068113E"/>
    <w:rsid w:val="00682B79"/>
    <w:rsid w:val="0068353D"/>
    <w:rsid w:val="0069059C"/>
    <w:rsid w:val="00690BB0"/>
    <w:rsid w:val="00691734"/>
    <w:rsid w:val="00692C8A"/>
    <w:rsid w:val="006939B6"/>
    <w:rsid w:val="006956FC"/>
    <w:rsid w:val="006A7D57"/>
    <w:rsid w:val="006B27E6"/>
    <w:rsid w:val="006B291A"/>
    <w:rsid w:val="006B2B3E"/>
    <w:rsid w:val="006B384E"/>
    <w:rsid w:val="006B51E2"/>
    <w:rsid w:val="006C3337"/>
    <w:rsid w:val="006C3E1E"/>
    <w:rsid w:val="006C65E5"/>
    <w:rsid w:val="006D213A"/>
    <w:rsid w:val="006D2F6E"/>
    <w:rsid w:val="006D32C9"/>
    <w:rsid w:val="006F055C"/>
    <w:rsid w:val="006F6D44"/>
    <w:rsid w:val="00704E22"/>
    <w:rsid w:val="00706673"/>
    <w:rsid w:val="007078BE"/>
    <w:rsid w:val="00707E3A"/>
    <w:rsid w:val="00710E14"/>
    <w:rsid w:val="00711473"/>
    <w:rsid w:val="00717153"/>
    <w:rsid w:val="00720490"/>
    <w:rsid w:val="007205D0"/>
    <w:rsid w:val="007221F4"/>
    <w:rsid w:val="00726DA3"/>
    <w:rsid w:val="00727062"/>
    <w:rsid w:val="00732B2B"/>
    <w:rsid w:val="00734BE2"/>
    <w:rsid w:val="00735CB1"/>
    <w:rsid w:val="0074054D"/>
    <w:rsid w:val="0074379F"/>
    <w:rsid w:val="0074539D"/>
    <w:rsid w:val="007517DA"/>
    <w:rsid w:val="00754B70"/>
    <w:rsid w:val="00760099"/>
    <w:rsid w:val="007631B9"/>
    <w:rsid w:val="00767C7B"/>
    <w:rsid w:val="007767D0"/>
    <w:rsid w:val="007813D8"/>
    <w:rsid w:val="0078705F"/>
    <w:rsid w:val="0079282F"/>
    <w:rsid w:val="00793F07"/>
    <w:rsid w:val="0079579B"/>
    <w:rsid w:val="007A388B"/>
    <w:rsid w:val="007A5CF9"/>
    <w:rsid w:val="007A5EA9"/>
    <w:rsid w:val="007B1285"/>
    <w:rsid w:val="007B4B3D"/>
    <w:rsid w:val="007B5C9C"/>
    <w:rsid w:val="007B678A"/>
    <w:rsid w:val="007C3957"/>
    <w:rsid w:val="007D0513"/>
    <w:rsid w:val="007D1F3B"/>
    <w:rsid w:val="007D2425"/>
    <w:rsid w:val="007E0C4E"/>
    <w:rsid w:val="007E1D04"/>
    <w:rsid w:val="007F1E8D"/>
    <w:rsid w:val="007F6A2E"/>
    <w:rsid w:val="00802C10"/>
    <w:rsid w:val="00814812"/>
    <w:rsid w:val="008159C4"/>
    <w:rsid w:val="008200EC"/>
    <w:rsid w:val="00822A35"/>
    <w:rsid w:val="0082397F"/>
    <w:rsid w:val="00823CD9"/>
    <w:rsid w:val="00827455"/>
    <w:rsid w:val="008279E0"/>
    <w:rsid w:val="00832B41"/>
    <w:rsid w:val="00833DCD"/>
    <w:rsid w:val="00834DBF"/>
    <w:rsid w:val="00835EED"/>
    <w:rsid w:val="008375D1"/>
    <w:rsid w:val="0084061E"/>
    <w:rsid w:val="008419C0"/>
    <w:rsid w:val="00842388"/>
    <w:rsid w:val="00843042"/>
    <w:rsid w:val="00845859"/>
    <w:rsid w:val="00845E04"/>
    <w:rsid w:val="00853A12"/>
    <w:rsid w:val="00854665"/>
    <w:rsid w:val="00860297"/>
    <w:rsid w:val="0087229F"/>
    <w:rsid w:val="0087359F"/>
    <w:rsid w:val="00874E23"/>
    <w:rsid w:val="008824EE"/>
    <w:rsid w:val="00882B89"/>
    <w:rsid w:val="00886E91"/>
    <w:rsid w:val="008911B8"/>
    <w:rsid w:val="00891F83"/>
    <w:rsid w:val="00897AD3"/>
    <w:rsid w:val="008A16BC"/>
    <w:rsid w:val="008A18D7"/>
    <w:rsid w:val="008A398B"/>
    <w:rsid w:val="008A548A"/>
    <w:rsid w:val="008A7464"/>
    <w:rsid w:val="008C1635"/>
    <w:rsid w:val="008C4F35"/>
    <w:rsid w:val="008C756D"/>
    <w:rsid w:val="008C7770"/>
    <w:rsid w:val="008C7CDD"/>
    <w:rsid w:val="008D5312"/>
    <w:rsid w:val="008D6A99"/>
    <w:rsid w:val="008E1154"/>
    <w:rsid w:val="008E45B7"/>
    <w:rsid w:val="008F0919"/>
    <w:rsid w:val="008F1713"/>
    <w:rsid w:val="008F2644"/>
    <w:rsid w:val="008F2FFB"/>
    <w:rsid w:val="009122B1"/>
    <w:rsid w:val="00913BF1"/>
    <w:rsid w:val="00915BF9"/>
    <w:rsid w:val="0092046C"/>
    <w:rsid w:val="0092073B"/>
    <w:rsid w:val="00927712"/>
    <w:rsid w:val="00944F65"/>
    <w:rsid w:val="00951D1F"/>
    <w:rsid w:val="009541F7"/>
    <w:rsid w:val="00957CC4"/>
    <w:rsid w:val="00962A26"/>
    <w:rsid w:val="00962D30"/>
    <w:rsid w:val="009639E6"/>
    <w:rsid w:val="009640B6"/>
    <w:rsid w:val="00972BF7"/>
    <w:rsid w:val="0097318A"/>
    <w:rsid w:val="00973426"/>
    <w:rsid w:val="00973CFB"/>
    <w:rsid w:val="00976114"/>
    <w:rsid w:val="00977D0E"/>
    <w:rsid w:val="0098055D"/>
    <w:rsid w:val="00983A25"/>
    <w:rsid w:val="009853B8"/>
    <w:rsid w:val="00992CFB"/>
    <w:rsid w:val="00993BCD"/>
    <w:rsid w:val="009968B0"/>
    <w:rsid w:val="00997ABE"/>
    <w:rsid w:val="009A442C"/>
    <w:rsid w:val="009A571D"/>
    <w:rsid w:val="009A577A"/>
    <w:rsid w:val="009A5CC8"/>
    <w:rsid w:val="009A5DAD"/>
    <w:rsid w:val="009A69C7"/>
    <w:rsid w:val="009B23EB"/>
    <w:rsid w:val="009B7133"/>
    <w:rsid w:val="009B7F3D"/>
    <w:rsid w:val="009C3FE4"/>
    <w:rsid w:val="009C68F7"/>
    <w:rsid w:val="009C735E"/>
    <w:rsid w:val="009D02AF"/>
    <w:rsid w:val="009D1932"/>
    <w:rsid w:val="009D30CE"/>
    <w:rsid w:val="009E1211"/>
    <w:rsid w:val="009F04BD"/>
    <w:rsid w:val="009F0780"/>
    <w:rsid w:val="009F16E9"/>
    <w:rsid w:val="009F1A3C"/>
    <w:rsid w:val="009F65B3"/>
    <w:rsid w:val="00A00089"/>
    <w:rsid w:val="00A03566"/>
    <w:rsid w:val="00A12832"/>
    <w:rsid w:val="00A13223"/>
    <w:rsid w:val="00A17F11"/>
    <w:rsid w:val="00A20E19"/>
    <w:rsid w:val="00A22AEF"/>
    <w:rsid w:val="00A22CFE"/>
    <w:rsid w:val="00A302E1"/>
    <w:rsid w:val="00A32310"/>
    <w:rsid w:val="00A33F38"/>
    <w:rsid w:val="00A35C07"/>
    <w:rsid w:val="00A3674A"/>
    <w:rsid w:val="00A3713A"/>
    <w:rsid w:val="00A425B4"/>
    <w:rsid w:val="00A42C61"/>
    <w:rsid w:val="00A42CF8"/>
    <w:rsid w:val="00A43B3A"/>
    <w:rsid w:val="00A4464A"/>
    <w:rsid w:val="00A46A3D"/>
    <w:rsid w:val="00A506F0"/>
    <w:rsid w:val="00A51822"/>
    <w:rsid w:val="00A53526"/>
    <w:rsid w:val="00A5514C"/>
    <w:rsid w:val="00A56D55"/>
    <w:rsid w:val="00A6016E"/>
    <w:rsid w:val="00A62DBB"/>
    <w:rsid w:val="00A713A0"/>
    <w:rsid w:val="00A72956"/>
    <w:rsid w:val="00A80C00"/>
    <w:rsid w:val="00A820FA"/>
    <w:rsid w:val="00A9245D"/>
    <w:rsid w:val="00A92D01"/>
    <w:rsid w:val="00A93978"/>
    <w:rsid w:val="00A943C0"/>
    <w:rsid w:val="00A9601C"/>
    <w:rsid w:val="00A97363"/>
    <w:rsid w:val="00A979F7"/>
    <w:rsid w:val="00A97A5E"/>
    <w:rsid w:val="00AA1F81"/>
    <w:rsid w:val="00AA761E"/>
    <w:rsid w:val="00AA7EF8"/>
    <w:rsid w:val="00AB0776"/>
    <w:rsid w:val="00AB289D"/>
    <w:rsid w:val="00AB35BE"/>
    <w:rsid w:val="00AB3DB7"/>
    <w:rsid w:val="00AB6615"/>
    <w:rsid w:val="00AC0B6C"/>
    <w:rsid w:val="00AC162D"/>
    <w:rsid w:val="00AC5B91"/>
    <w:rsid w:val="00AC6D4E"/>
    <w:rsid w:val="00AD3312"/>
    <w:rsid w:val="00AD4E17"/>
    <w:rsid w:val="00AD56A2"/>
    <w:rsid w:val="00AD79A9"/>
    <w:rsid w:val="00AE0468"/>
    <w:rsid w:val="00AE250E"/>
    <w:rsid w:val="00AE4FB9"/>
    <w:rsid w:val="00AE644B"/>
    <w:rsid w:val="00AF110C"/>
    <w:rsid w:val="00AF3209"/>
    <w:rsid w:val="00AF417C"/>
    <w:rsid w:val="00AF602C"/>
    <w:rsid w:val="00B0001A"/>
    <w:rsid w:val="00B00712"/>
    <w:rsid w:val="00B0521B"/>
    <w:rsid w:val="00B117D9"/>
    <w:rsid w:val="00B15B69"/>
    <w:rsid w:val="00B172B3"/>
    <w:rsid w:val="00B17CEF"/>
    <w:rsid w:val="00B2004B"/>
    <w:rsid w:val="00B20EF2"/>
    <w:rsid w:val="00B2633A"/>
    <w:rsid w:val="00B34A01"/>
    <w:rsid w:val="00B35D08"/>
    <w:rsid w:val="00B36A9A"/>
    <w:rsid w:val="00B40D62"/>
    <w:rsid w:val="00B41098"/>
    <w:rsid w:val="00B4126F"/>
    <w:rsid w:val="00B43AA5"/>
    <w:rsid w:val="00B4693C"/>
    <w:rsid w:val="00B477E1"/>
    <w:rsid w:val="00B47D12"/>
    <w:rsid w:val="00B5009E"/>
    <w:rsid w:val="00B515B8"/>
    <w:rsid w:val="00B56031"/>
    <w:rsid w:val="00B61E89"/>
    <w:rsid w:val="00B63906"/>
    <w:rsid w:val="00B67890"/>
    <w:rsid w:val="00B720D0"/>
    <w:rsid w:val="00B72AF5"/>
    <w:rsid w:val="00B82E15"/>
    <w:rsid w:val="00B831C1"/>
    <w:rsid w:val="00B8325C"/>
    <w:rsid w:val="00B83A64"/>
    <w:rsid w:val="00B91483"/>
    <w:rsid w:val="00B938E8"/>
    <w:rsid w:val="00B94008"/>
    <w:rsid w:val="00B9406C"/>
    <w:rsid w:val="00B957C5"/>
    <w:rsid w:val="00B95DEF"/>
    <w:rsid w:val="00B96D8A"/>
    <w:rsid w:val="00B977E3"/>
    <w:rsid w:val="00BA1690"/>
    <w:rsid w:val="00BA4C07"/>
    <w:rsid w:val="00BB22B1"/>
    <w:rsid w:val="00BB2AC3"/>
    <w:rsid w:val="00BB79E2"/>
    <w:rsid w:val="00BC47D2"/>
    <w:rsid w:val="00BC5CD7"/>
    <w:rsid w:val="00BC7069"/>
    <w:rsid w:val="00BC78CF"/>
    <w:rsid w:val="00BC791F"/>
    <w:rsid w:val="00BC7EE9"/>
    <w:rsid w:val="00BD23E9"/>
    <w:rsid w:val="00BD4218"/>
    <w:rsid w:val="00BD67A3"/>
    <w:rsid w:val="00BE33AA"/>
    <w:rsid w:val="00BE465E"/>
    <w:rsid w:val="00BE6393"/>
    <w:rsid w:val="00BE65DF"/>
    <w:rsid w:val="00BF5FA4"/>
    <w:rsid w:val="00BF793D"/>
    <w:rsid w:val="00C002D1"/>
    <w:rsid w:val="00C02C56"/>
    <w:rsid w:val="00C14560"/>
    <w:rsid w:val="00C14E99"/>
    <w:rsid w:val="00C16A9B"/>
    <w:rsid w:val="00C36762"/>
    <w:rsid w:val="00C4044D"/>
    <w:rsid w:val="00C4322B"/>
    <w:rsid w:val="00C445DE"/>
    <w:rsid w:val="00C51768"/>
    <w:rsid w:val="00C536A0"/>
    <w:rsid w:val="00C63516"/>
    <w:rsid w:val="00C70A87"/>
    <w:rsid w:val="00C70E33"/>
    <w:rsid w:val="00C71B61"/>
    <w:rsid w:val="00C7341C"/>
    <w:rsid w:val="00C73DB2"/>
    <w:rsid w:val="00C73EFA"/>
    <w:rsid w:val="00C741C4"/>
    <w:rsid w:val="00C80CEB"/>
    <w:rsid w:val="00C85001"/>
    <w:rsid w:val="00C90DAF"/>
    <w:rsid w:val="00CA10CF"/>
    <w:rsid w:val="00CA2444"/>
    <w:rsid w:val="00CA44F8"/>
    <w:rsid w:val="00CB3CCF"/>
    <w:rsid w:val="00CC131A"/>
    <w:rsid w:val="00CC35FA"/>
    <w:rsid w:val="00CC52D6"/>
    <w:rsid w:val="00CC5D6F"/>
    <w:rsid w:val="00CC681E"/>
    <w:rsid w:val="00CC765D"/>
    <w:rsid w:val="00CD3111"/>
    <w:rsid w:val="00CD6AAF"/>
    <w:rsid w:val="00CE3E02"/>
    <w:rsid w:val="00CE6C1D"/>
    <w:rsid w:val="00D03F0D"/>
    <w:rsid w:val="00D04351"/>
    <w:rsid w:val="00D04D2F"/>
    <w:rsid w:val="00D115DD"/>
    <w:rsid w:val="00D116EC"/>
    <w:rsid w:val="00D11BBC"/>
    <w:rsid w:val="00D11D0F"/>
    <w:rsid w:val="00D12069"/>
    <w:rsid w:val="00D130CF"/>
    <w:rsid w:val="00D13F4F"/>
    <w:rsid w:val="00D163F9"/>
    <w:rsid w:val="00D206D5"/>
    <w:rsid w:val="00D24808"/>
    <w:rsid w:val="00D31BD6"/>
    <w:rsid w:val="00D34063"/>
    <w:rsid w:val="00D4299B"/>
    <w:rsid w:val="00D43A3D"/>
    <w:rsid w:val="00D45405"/>
    <w:rsid w:val="00D477BD"/>
    <w:rsid w:val="00D51E47"/>
    <w:rsid w:val="00D54EF7"/>
    <w:rsid w:val="00D60C8E"/>
    <w:rsid w:val="00D62B1A"/>
    <w:rsid w:val="00D671CC"/>
    <w:rsid w:val="00D7625F"/>
    <w:rsid w:val="00D84B12"/>
    <w:rsid w:val="00D86685"/>
    <w:rsid w:val="00D86CBA"/>
    <w:rsid w:val="00D92992"/>
    <w:rsid w:val="00D95512"/>
    <w:rsid w:val="00D967F9"/>
    <w:rsid w:val="00D97870"/>
    <w:rsid w:val="00D97AC4"/>
    <w:rsid w:val="00DA2FA9"/>
    <w:rsid w:val="00DA4CCD"/>
    <w:rsid w:val="00DA6796"/>
    <w:rsid w:val="00DB2A9C"/>
    <w:rsid w:val="00DB529B"/>
    <w:rsid w:val="00DB626C"/>
    <w:rsid w:val="00DC1F8B"/>
    <w:rsid w:val="00DC2278"/>
    <w:rsid w:val="00DC3D8E"/>
    <w:rsid w:val="00DC6CF6"/>
    <w:rsid w:val="00DC7C8F"/>
    <w:rsid w:val="00DD3F06"/>
    <w:rsid w:val="00DE1D6D"/>
    <w:rsid w:val="00DE3A0B"/>
    <w:rsid w:val="00DE3A61"/>
    <w:rsid w:val="00DE4EEE"/>
    <w:rsid w:val="00DF3DA6"/>
    <w:rsid w:val="00E0148A"/>
    <w:rsid w:val="00E026E4"/>
    <w:rsid w:val="00E05C45"/>
    <w:rsid w:val="00E079DA"/>
    <w:rsid w:val="00E10523"/>
    <w:rsid w:val="00E13FA8"/>
    <w:rsid w:val="00E15BAB"/>
    <w:rsid w:val="00E17452"/>
    <w:rsid w:val="00E227CD"/>
    <w:rsid w:val="00E23AC6"/>
    <w:rsid w:val="00E241C4"/>
    <w:rsid w:val="00E30CBF"/>
    <w:rsid w:val="00E31883"/>
    <w:rsid w:val="00E418DE"/>
    <w:rsid w:val="00E4386A"/>
    <w:rsid w:val="00E4662D"/>
    <w:rsid w:val="00E46D3E"/>
    <w:rsid w:val="00E5073F"/>
    <w:rsid w:val="00E64F05"/>
    <w:rsid w:val="00E661B5"/>
    <w:rsid w:val="00E733BD"/>
    <w:rsid w:val="00E80217"/>
    <w:rsid w:val="00E83277"/>
    <w:rsid w:val="00E851D1"/>
    <w:rsid w:val="00E8590F"/>
    <w:rsid w:val="00E860B5"/>
    <w:rsid w:val="00E86AE0"/>
    <w:rsid w:val="00E905C1"/>
    <w:rsid w:val="00E91DD6"/>
    <w:rsid w:val="00E96B3E"/>
    <w:rsid w:val="00EA5BD1"/>
    <w:rsid w:val="00EA7CA8"/>
    <w:rsid w:val="00EB4B0E"/>
    <w:rsid w:val="00EB7CF1"/>
    <w:rsid w:val="00EC0A1C"/>
    <w:rsid w:val="00EC1255"/>
    <w:rsid w:val="00EC5FAA"/>
    <w:rsid w:val="00EC6D70"/>
    <w:rsid w:val="00ED0764"/>
    <w:rsid w:val="00ED1591"/>
    <w:rsid w:val="00ED25B8"/>
    <w:rsid w:val="00ED3466"/>
    <w:rsid w:val="00ED5162"/>
    <w:rsid w:val="00ED5EBB"/>
    <w:rsid w:val="00EE066B"/>
    <w:rsid w:val="00EE1A65"/>
    <w:rsid w:val="00EE3B9A"/>
    <w:rsid w:val="00EF7F28"/>
    <w:rsid w:val="00F0269E"/>
    <w:rsid w:val="00F048A4"/>
    <w:rsid w:val="00F05EDB"/>
    <w:rsid w:val="00F06893"/>
    <w:rsid w:val="00F06C6F"/>
    <w:rsid w:val="00F07D41"/>
    <w:rsid w:val="00F13007"/>
    <w:rsid w:val="00F13C15"/>
    <w:rsid w:val="00F157FB"/>
    <w:rsid w:val="00F17679"/>
    <w:rsid w:val="00F23B16"/>
    <w:rsid w:val="00F26EE6"/>
    <w:rsid w:val="00F32E0E"/>
    <w:rsid w:val="00F34622"/>
    <w:rsid w:val="00F46878"/>
    <w:rsid w:val="00F4790F"/>
    <w:rsid w:val="00F5007D"/>
    <w:rsid w:val="00F5218C"/>
    <w:rsid w:val="00F52D64"/>
    <w:rsid w:val="00F5537E"/>
    <w:rsid w:val="00F617E7"/>
    <w:rsid w:val="00F72FD1"/>
    <w:rsid w:val="00F80FF7"/>
    <w:rsid w:val="00F83BF2"/>
    <w:rsid w:val="00F86616"/>
    <w:rsid w:val="00F86A16"/>
    <w:rsid w:val="00F9054D"/>
    <w:rsid w:val="00F92C0C"/>
    <w:rsid w:val="00F93FA9"/>
    <w:rsid w:val="00FA0FAA"/>
    <w:rsid w:val="00FB55F0"/>
    <w:rsid w:val="00FC1C63"/>
    <w:rsid w:val="00FC50EA"/>
    <w:rsid w:val="00FC5C7E"/>
    <w:rsid w:val="00FD0203"/>
    <w:rsid w:val="00FD17D6"/>
    <w:rsid w:val="00FE0715"/>
    <w:rsid w:val="00FE0FBD"/>
    <w:rsid w:val="00FE1A25"/>
    <w:rsid w:val="00FE36A5"/>
    <w:rsid w:val="00FE7D78"/>
    <w:rsid w:val="00FF40D7"/>
    <w:rsid w:val="39B0131F"/>
    <w:rsid w:val="49E458D0"/>
    <w:rsid w:val="52544C2B"/>
    <w:rsid w:val="6E80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9CF32"/>
  <w15:docId w15:val="{A8F28A88-EC05-408F-A034-15EAB119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header" w:uiPriority="99"/>
    <w:lsdException w:name="footer" w:uiPriority="99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uppressAutoHyphens/>
      <w:jc w:val="both"/>
    </w:pPr>
    <w:rPr>
      <w:rFonts w:ascii="Arial" w:hAnsi="Arial"/>
      <w:sz w:val="28"/>
      <w:szCs w:val="20"/>
      <w:lang w:eastAsia="ar-SA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cterCaracter3">
    <w:name w:val="Caracter Caracter3"/>
    <w:basedOn w:val="Normal"/>
    <w:rPr>
      <w:lang w:val="pl-PL" w:eastAsia="pl-PL"/>
    </w:rPr>
  </w:style>
  <w:style w:type="paragraph" w:customStyle="1" w:styleId="Normal14pt">
    <w:name w:val="Normal + 14 pt"/>
    <w:basedOn w:val="Normal"/>
    <w:pPr>
      <w:ind w:firstLine="720"/>
      <w:jc w:val="both"/>
    </w:pPr>
    <w:rPr>
      <w:sz w:val="28"/>
      <w:szCs w:val="28"/>
      <w:lang w:val="ro-RO"/>
    </w:rPr>
  </w:style>
  <w:style w:type="character" w:customStyle="1" w:styleId="tal1">
    <w:name w:val="tal1"/>
    <w:basedOn w:val="DefaultParagraphFont"/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Text">
    <w:name w:val="Default Text"/>
    <w:basedOn w:val="Normal"/>
    <w:pPr>
      <w:widowControl w:val="0"/>
      <w:autoSpaceDE w:val="0"/>
      <w:autoSpaceDN w:val="0"/>
      <w:adjustRightInd w:val="0"/>
    </w:pPr>
  </w:style>
  <w:style w:type="paragraph" w:customStyle="1" w:styleId="CaracterCaracter">
    <w:name w:val="Caracter Caracter"/>
    <w:basedOn w:val="Normal"/>
    <w:rPr>
      <w:lang w:val="pl-PL" w:eastAsia="pl-PL"/>
    </w:rPr>
  </w:style>
  <w:style w:type="paragraph" w:customStyle="1" w:styleId="CaracterCaracter1">
    <w:name w:val="Caracter Caracter1"/>
    <w:basedOn w:val="Normal"/>
    <w:rPr>
      <w:lang w:val="pl-PL" w:eastAsia="pl-PL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paragraph" w:styleId="Revision">
    <w:name w:val="Revision"/>
    <w:hidden/>
    <w:uiPriority w:val="99"/>
    <w:unhideWhenUsed/>
    <w:rsid w:val="00FE0FBD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27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MFP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user103</dc:creator>
  <cp:lastModifiedBy>CUŢA PRASACU</cp:lastModifiedBy>
  <cp:revision>17</cp:revision>
  <cp:lastPrinted>2024-11-13T09:30:00Z</cp:lastPrinted>
  <dcterms:created xsi:type="dcterms:W3CDTF">2024-11-04T11:19:00Z</dcterms:created>
  <dcterms:modified xsi:type="dcterms:W3CDTF">2024-11-13T09:31:00Z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2A1BBE4726FE449D9D4E1BD84EE8E221</vt:lpwstr>
  </property>
</Properties>
</file>